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84BEE7">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ascii="Times New Roman Regular" w:hAnsi="Times New Roman Regular" w:cs="Times New Roman Regular" w:eastAsiaTheme="minorEastAsia"/>
          <w:b/>
          <w:bCs/>
          <w:lang w:val="en-US" w:eastAsia="zh-CN"/>
        </w:rPr>
      </w:pPr>
      <w:r>
        <w:rPr>
          <w:rFonts w:hint="default" w:ascii="Times New Roman Regular" w:hAnsi="Times New Roman Regular" w:cs="Times New Roman Regular"/>
          <w:b/>
          <w:bCs/>
          <w:lang w:val="en-US"/>
        </w:rPr>
        <w:t>Responses to RC</w:t>
      </w:r>
      <w:r>
        <w:rPr>
          <w:rFonts w:hint="default" w:ascii="Times New Roman Regular" w:hAnsi="Times New Roman Regular" w:cs="Times New Roman Regular"/>
          <w:b/>
          <w:bCs/>
          <w:lang w:val="en-US" w:eastAsia="zh-CN"/>
        </w:rPr>
        <w:t>2</w:t>
      </w:r>
    </w:p>
    <w:p w14:paraId="28B2DAFD">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eastAsia="zh-CN"/>
        </w:rPr>
      </w:pPr>
    </w:p>
    <w:p w14:paraId="44B54B83">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eastAsia="zh-CN"/>
        </w:rPr>
      </w:pPr>
      <w:r>
        <w:rPr>
          <w:rFonts w:hint="default" w:ascii="Times New Roman Regular" w:hAnsi="Times New Roman Regular" w:cs="Times New Roman Regular"/>
          <w:lang w:eastAsia="zh-CN"/>
        </w:rPr>
        <w:t>The manuscript proposes a framework for predicting nitrate concentrations in the groundwater system. In this research several novel methods such as virtual sample generation and hybrid quantum-classical Random Forest, and novel data sources (AlphaEarth Foundation) are combined with classical water quality sampling including isotopes analysis. The main novelty presented in the paper is the use of virtual sample generation to increase the Random Forest efficiency for predicting nitrate concentrations in the groundwater.</w:t>
      </w:r>
    </w:p>
    <w:p w14:paraId="0F3F4437">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eastAsia="zh-CN"/>
        </w:rPr>
      </w:pPr>
    </w:p>
    <w:p w14:paraId="60EFFD60">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eastAsia="zh-CN"/>
        </w:rPr>
      </w:pPr>
      <w:r>
        <w:rPr>
          <w:rFonts w:hint="default" w:ascii="Times New Roman Regular" w:hAnsi="Times New Roman Regular" w:cs="Times New Roman Regular"/>
          <w:lang w:eastAsia="zh-CN"/>
        </w:rPr>
        <w:t>Although the general idea of the manuscript is interesting the current manuscript lacks details to fully understand the virtual sampling and random forest methods that are applied:</w:t>
      </w:r>
    </w:p>
    <w:p w14:paraId="2E682D38">
      <w:pPr>
        <w:keepNext w:val="0"/>
        <w:keepLines w:val="0"/>
        <w:pageBreakBefore w:val="0"/>
        <w:widowControl w:val="0"/>
        <w:numPr>
          <w:ilvl w:val="0"/>
          <w:numId w:val="2"/>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lang w:eastAsia="zh-CN"/>
        </w:rPr>
      </w:pPr>
      <w:r>
        <w:rPr>
          <w:rFonts w:hint="default" w:ascii="Times New Roman Regular" w:hAnsi="Times New Roman Regular" w:cs="Times New Roman Regular"/>
          <w:lang w:eastAsia="zh-CN"/>
        </w:rPr>
        <w:t>The precise methodology of the virtual sample generation (t-SNE-GMM-KNN) is unclear to me. Are virtual samples added in space or also in time? The virtual samples are used in the RF method, how are the inputs variables and corresponding nitrate concentrations determined?</w:t>
      </w:r>
    </w:p>
    <w:p w14:paraId="78904BE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lang w:eastAsia="zh-CN"/>
        </w:rPr>
      </w:pPr>
    </w:p>
    <w:p w14:paraId="3955D38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We sincerely thank the reviewer for this insightful comment regarding the methodology of virtual sample generation. We acknowledge that the original description lacked sufficient detail concerning the spatial/temporal nature of the virtual samples and the specific determination of input variables versus target values.</w:t>
      </w:r>
    </w:p>
    <w:p w14:paraId="70B0E5C4">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In response, we have significantly revised Section 2.4 (t-SNE-GMM-KNN: based on nonlinear structure modeling in feature space) to clarify these points:</w:t>
      </w:r>
    </w:p>
    <w:p w14:paraId="12B65BF5">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Spatial and Temporal Context: We have clarified that the virtual samples are generated to augment the hydrochemical attribute space within each specific hydrological season (normal, dry, wet). They do not represent new physical geographic locations (GPS coordinates) or distinct time points beyond the seasonal snapshot. Instead, they increase the population density of plausible hydrochemical states within the existing seasonal dataset to improve model robustness against sparsity.</w:t>
      </w:r>
      <w:r>
        <w:rPr>
          <w:rFonts w:hint="eastAsia" w:ascii="Times New Roman Regular" w:hAnsi="Times New Roman Regular" w:cs="Times New Roman Regular"/>
          <w:color w:val="0000FF"/>
          <w:lang w:val="en-US" w:eastAsia="zh-CN"/>
        </w:rPr>
        <w:t xml:space="preserve"> The </w:t>
      </w:r>
      <w:r>
        <w:rPr>
          <w:rFonts w:hint="default" w:ascii="Times New Roman Regular" w:hAnsi="Times New Roman Regular" w:cs="Times New Roman Regular"/>
          <w:color w:val="0000FF"/>
          <w:lang w:val="en-US" w:eastAsia="zh-CN"/>
        </w:rPr>
        <w:t xml:space="preserve">generation </w:t>
      </w:r>
      <w:r>
        <w:rPr>
          <w:rFonts w:hint="eastAsia" w:ascii="Times New Roman Regular" w:hAnsi="Times New Roman Regular" w:cs="Times New Roman Regular"/>
          <w:color w:val="0000FF"/>
          <w:lang w:val="en-US" w:eastAsia="zh-CN"/>
        </w:rPr>
        <w:t>is performed separately for each hydrological season to increase the sample size available for training, without creating artificial temporal sequences.</w:t>
      </w:r>
    </w:p>
    <w:p w14:paraId="712F9563">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We have clearly clarified this point in the revised Section 2.4, with the core content marked in bold:Virtual samples are generated exclusively in the hydrochemical feature space (spatial dimension) for each hydrological season independently, with no temporal extrapolation or cross-season data fusion.</w:t>
      </w:r>
      <w:r>
        <w:rPr>
          <w:rFonts w:hint="default" w:ascii="Times New Roman Regular" w:hAnsi="Times New Roman Regular" w:cs="Times New Roman Regular"/>
          <w:color w:val="0000FF"/>
          <w:lang w:val="en-US" w:eastAsia="zh-CN"/>
        </w:rPr>
        <w:t xml:space="preserve"> Our study conducted independent modeling for the normal, dry, and wet seasons, respectively, to capture the significant seasonal heterogeneity of groundwater hydrochemistry and nitrate dynamics. For each hydrological season, we only used the in-situ sampling data of that season to generate virtual samples, with no cross-season data mixing or temporal interpolation/extrapolation between different hydrological periods. The "spatial dimension" here refers to the high-dimensional hydrochemical feature space composed of in-situ measured water quality parameters (pH, EC, TDS, etc.) and nitrate concentration. The t-SNE-GMM-KNN method generates virtual samples by learning the probability distribution and non-linear manifold structure of the original sampling points in this feature space, which essentially expands the sample size in the spatial hydrochemical feature domain, rather than adding new samples in the time dimension.</w:t>
      </w:r>
    </w:p>
    <w:p w14:paraId="72A8E664">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Determination of Inputs and Nitrate Concentrations: We have explicitly stated that during the generation phase,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lang w:eastAsia="zh-CN"/>
        </w:rPr>
        <w:t xml:space="preserve"> is treated as part of the joint feature space alongside predictors (pH, T, EC, DO, ORP, Salt, TDS). The KNN inverse mapping reconstructs all features together from the 2D latent space back to the original feature space. Consequently, for each virtual sample, both the input variables (the 7 water quality parameters) and the corresponding nitrate concentration are determined together through this inverse mapping process. This ensures that the generated virtual nitrate concentrations preserve the intrinsic non-linear correlations with the hydrochemical predictors. During the subsequent Random Forest modeling phase, these generated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lang w:eastAsia="zh-CN"/>
        </w:rPr>
        <w:t xml:space="preserve"> values are separated and serve as the target variable (y), while the accompanying hydrochemical parameters serve as the input features (X).</w:t>
      </w:r>
    </w:p>
    <w:p w14:paraId="4A642A8B">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Methodological Details: We have added details regarding the KNN inverse mapping process, confirming that it reconstructs both predictors and the target from the low-dimensional latent space, and emphasized the physical constraints (e.g., non-negative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lang w:eastAsia="zh-CN"/>
        </w:rPr>
        <w:t>) applied to ensure chemical plausibility.</w:t>
      </w:r>
    </w:p>
    <w:p w14:paraId="1AB7603F">
      <w:pPr>
        <w:keepNext w:val="0"/>
        <w:keepLines w:val="0"/>
        <w:pageBreakBefore w:val="0"/>
        <w:widowControl w:val="0"/>
        <w:numPr>
          <w:ilvl w:val="0"/>
          <w:numId w:val="3"/>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color w:val="0000FF"/>
          <w:lang w:eastAsia="zh-CN"/>
        </w:rPr>
      </w:pPr>
      <w:r>
        <w:rPr>
          <w:rFonts w:hint="eastAsia" w:ascii="Times New Roman Regular" w:hAnsi="Times New Roman Regular" w:cs="Times New Roman Regular"/>
          <w:color w:val="0000FF"/>
          <w:lang w:val="en-US" w:eastAsia="zh-CN"/>
        </w:rPr>
        <w:t>W</w:t>
      </w:r>
      <w:r>
        <w:rPr>
          <w:rFonts w:hint="default" w:ascii="Times New Roman Regular" w:hAnsi="Times New Roman Regular" w:cs="Times New Roman Regular"/>
          <w:color w:val="0000FF"/>
          <w:lang w:eastAsia="zh-CN"/>
        </w:rPr>
        <w:t>e have completely expanded Section 2.4, elaborating the five-step, fully reproducible technical workflow of the t-SNE-GMM-KNN method with explicit mathematical expressions, hyperparameter configurations, implementation details, and quality control criteria. We decomposed the method into 5 sequential, traceable steps: (1) Data preprocessing and standardized feature matrix construction; (2) Non-linear dimensionality reduction via t-SNE; (3) Probability density distribution fitting via GMM with BIC optimal component selection; (4) Virtual sample sampling and KNN-based inverse mapping; (5) Physical constraints and multi-dimensional quality control. For each step, we provided the exact implementation logic, core hyperparameter settings (e.g., t-SNE perplexity=10, GMM component range 1-7, KNN n_neighbors=min(5, n_original-1)), and the corresponding Python library modules used (scikit-learn), to ensure full reproducibility of the method.</w:t>
      </w:r>
      <w:r>
        <w:rPr>
          <w:rFonts w:hint="default" w:ascii="Times New Roman Regular" w:hAnsi="Times New Roman Regular" w:cs="Times New Roman Regular"/>
          <w:color w:val="0000FF"/>
          <w:lang w:val="en-US" w:eastAsia="zh-CN"/>
        </w:rPr>
        <w:t xml:space="preserve"> We supplemented the mathematical basis of each core step to clarify the theoretical principle of the method.</w:t>
      </w:r>
    </w:p>
    <w:p w14:paraId="5EE33104">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59DB5630">
      <w:pPr>
        <w:spacing w:line="300" w:lineRule="auto"/>
        <w:outlineLvl w:val="1"/>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2.4 </w:t>
      </w:r>
      <w:r>
        <w:rPr>
          <w:rFonts w:ascii="Times New Roman Regular" w:hAnsi="Times New Roman Regular" w:cs="Times New Roman Regular"/>
          <w:color w:val="0000FF"/>
        </w:rPr>
        <w:t>t-SNE-GMM-KNN: based on nonlinear structure modeling in feature space</w:t>
      </w:r>
    </w:p>
    <w:p w14:paraId="4E86592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To address the challenges of overfitting and poor generalization performance in small-sample modeling, which arise from data sparsity and skewed distributions, this study proposes a three-stage virtual sample generation strategy termed t-SNE</w:t>
      </w:r>
      <w:r>
        <w:rPr>
          <w:rFonts w:hint="eastAsia" w:ascii="Times New Roman Regular" w:hAnsi="Times New Roman Regular" w:cs="Times New Roman Regular"/>
          <w:color w:val="0000FF"/>
        </w:rPr>
        <w:t>-</w:t>
      </w:r>
      <w:r>
        <w:rPr>
          <w:rFonts w:ascii="Times New Roman Regular" w:hAnsi="Times New Roman Regular" w:cs="Times New Roman Regular"/>
          <w:color w:val="0000FF"/>
        </w:rPr>
        <w:t xml:space="preserve">Gaussian Mixture Sampling with KNN Inverse mapping. This method aims to preserve the non-linear manifold structure and multi-modal distribution characteristics of the original high-dimensional feature space while generating physically plausible and statistically consistent </w:t>
      </w:r>
      <w:r>
        <w:rPr>
          <w:rFonts w:hint="default" w:ascii="Times New Roman Regular" w:hAnsi="Times New Roman Regular" w:cs="Times New Roman Regular"/>
          <w:color w:val="0000FF"/>
          <w:lang w:val="en-US"/>
        </w:rPr>
        <w:t xml:space="preserve">virtual </w:t>
      </w:r>
      <w:r>
        <w:rPr>
          <w:rFonts w:ascii="Times New Roman Regular" w:hAnsi="Times New Roman Regular" w:cs="Times New Roman Regular"/>
          <w:color w:val="0000FF"/>
        </w:rPr>
        <w:t xml:space="preserve">samples. </w:t>
      </w:r>
      <w:r>
        <w:rPr>
          <w:rFonts w:hint="eastAsia" w:ascii="Times New Roman Regular" w:hAnsi="Times New Roman Regular" w:cs="Times New Roman Regular"/>
          <w:color w:val="0000FF"/>
        </w:rPr>
        <w:t>Crucially, virtual samples are generated exclusively in the hydrochemical feature space (spatial dimension) for each hydrological season independently, with no temporal extrapolation or cross-season data fusion, to avoid altering the inherent seasonal hydrochemical heterogeneity identified in this study.</w:t>
      </w:r>
      <w:r>
        <w:rPr>
          <w:rFonts w:hint="eastAsia" w:ascii="Times New Roman Regular" w:hAnsi="Times New Roman Regular" w:cs="Times New Roman Regular"/>
          <w:color w:val="0000FF"/>
          <w:lang w:val="en-US" w:eastAsia="zh-CN"/>
        </w:rPr>
        <w:t xml:space="preserve"> The </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spatial dimension</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xml:space="preserve"> here refers to the high-dimensional hydrochemical feature space composed of in-situ measured water quality parameters and nitrate concentration. T</w:t>
      </w:r>
      <w:r>
        <w:rPr>
          <w:rFonts w:hint="eastAsia" w:ascii="Times New Roman Regular" w:hAnsi="Times New Roman Regular" w:cs="Times New Roman Regular"/>
          <w:color w:val="0000FF"/>
        </w:rPr>
        <w:t xml:space="preserve">hese virtual samples augment the hydrochemical attribute space within each specific hydrological season (normal, dry, wet) to increase population density for model training, rather than representing new physical spatial locations or distinct time points. </w:t>
      </w:r>
      <w:r>
        <w:rPr>
          <w:rFonts w:ascii="Times New Roman Regular" w:hAnsi="Times New Roman Regular" w:cs="Times New Roman Regular"/>
          <w:color w:val="0000FF"/>
        </w:rPr>
        <w:t>The specific workflow is as follows:</w:t>
      </w:r>
    </w:p>
    <w:p w14:paraId="13175F0D">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1. Data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tandardization</w:t>
      </w:r>
    </w:p>
    <w:p w14:paraId="02A63172">
      <w:pPr>
        <w:spacing w:line="300" w:lineRule="auto"/>
        <w:ind w:firstLine="420"/>
        <w:rPr>
          <w:rFonts w:hint="eastAsia" w:ascii="Times New Roman Regular" w:hAnsi="Times New Roman Regular" w:cs="Times New Roman Regular" w:eastAsiaTheme="minorEastAsia"/>
          <w:color w:val="0000FF"/>
          <w:lang w:val="en-US" w:eastAsia="zh-CN"/>
        </w:rPr>
      </w:pPr>
      <w:r>
        <w:rPr>
          <w:rFonts w:ascii="Times New Roman Regular" w:hAnsi="Times New Roman Regular" w:cs="Times New Roman Regular"/>
          <w:color w:val="0000FF"/>
        </w:rPr>
        <w:t>All input features are standardized using Z-score standardization to eliminate scale differences and enhance the stability of the subsequent dimensionality reduction (</w:t>
      </w:r>
      <w:r>
        <w:rPr>
          <w:rFonts w:ascii="Times New Roman Regular" w:hAnsi="Times New Roman Regular" w:cs="Times New Roman Regular"/>
          <w:color w:val="0000FF"/>
        </w:rPr>
        <w:t>Jamshidi et al., 2022).</w:t>
      </w:r>
      <w:r>
        <w:rPr>
          <w:rFonts w:hint="default" w:ascii="Times New Roman Regular" w:hAnsi="Times New Roman Regular" w:cs="Times New Roman Regular"/>
          <w:color w:val="0000FF"/>
          <w:lang w:val="en-US"/>
        </w:rPr>
        <w:t xml:space="preserve"> The StandardScaler from scikit-learn was applied to transform each feature to zero mean and unit variance.</w:t>
      </w:r>
      <w:r>
        <w:rPr>
          <w:rFonts w:hint="eastAsia" w:ascii="Times New Roman Regular" w:hAnsi="Times New Roman Regular" w:cs="Times New Roman Regular"/>
          <w:color w:val="0000FF"/>
          <w:lang w:val="en-US" w:eastAsia="zh-CN"/>
        </w:rPr>
        <w:t xml:space="preserve"> Notably, the target variable (NO</w:t>
      </w:r>
      <w:r>
        <w:rPr>
          <w:rFonts w:hint="eastAsia" w:ascii="Times New Roman Regular" w:hAnsi="Times New Roman Regular" w:cs="Times New Roman Regular"/>
          <w:color w:val="0000FF"/>
          <w:vertAlign w:val="subscript"/>
          <w:lang w:val="en-US" w:eastAsia="zh-CN"/>
        </w:rPr>
        <w:t>3</w:t>
      </w:r>
      <w:r>
        <w:rPr>
          <w:rFonts w:hint="eastAsia"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is included alongside predictive variables (pH, T, EC, DO, ORP, Salt, TDS) in this standardization step to ensure the joint distribution between predictors and the target is preserved during generation.</w:t>
      </w:r>
    </w:p>
    <w:p w14:paraId="3CC38CF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2. t-SNE </w:t>
      </w:r>
      <w:r>
        <w:rPr>
          <w:rFonts w:hint="default" w:ascii="Times New Roman Regular" w:hAnsi="Times New Roman Regular" w:cs="Times New Roman Regular"/>
          <w:color w:val="0000FF"/>
          <w:lang w:val="en-US"/>
        </w:rPr>
        <w:t>n</w:t>
      </w:r>
      <w:r>
        <w:rPr>
          <w:rFonts w:ascii="Times New Roman Regular" w:hAnsi="Times New Roman Regular" w:cs="Times New Roman Regular"/>
          <w:color w:val="0000FF"/>
        </w:rPr>
        <w:t xml:space="preserve">on-linear </w:t>
      </w:r>
      <w:r>
        <w:rPr>
          <w:rFonts w:hint="default" w:ascii="Times New Roman Regular" w:hAnsi="Times New Roman Regular" w:cs="Times New Roman Regular"/>
          <w:color w:val="0000FF"/>
          <w:lang w:val="en-US"/>
        </w:rPr>
        <w:t>d</w:t>
      </w:r>
      <w:r>
        <w:rPr>
          <w:rFonts w:ascii="Times New Roman Regular" w:hAnsi="Times New Roman Regular" w:cs="Times New Roman Regular"/>
          <w:color w:val="0000FF"/>
        </w:rPr>
        <w:t xml:space="preserve">imensionality </w:t>
      </w:r>
      <w:r>
        <w:rPr>
          <w:rFonts w:hint="default" w:ascii="Times New Roman Regular" w:hAnsi="Times New Roman Regular" w:cs="Times New Roman Regular"/>
          <w:color w:val="0000FF"/>
          <w:lang w:val="en-US"/>
        </w:rPr>
        <w:t>r</w:t>
      </w:r>
      <w:r>
        <w:rPr>
          <w:rFonts w:ascii="Times New Roman Regular" w:hAnsi="Times New Roman Regular" w:cs="Times New Roman Regular"/>
          <w:color w:val="0000FF"/>
        </w:rPr>
        <w:t>eduction</w:t>
      </w:r>
    </w:p>
    <w:p w14:paraId="35040CE5">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t-Distributed Stochastic Neighbor Embedding (t-SNE) is employed to map the high-dimensional feature space into a low-dimensional latent space (d=2) (</w:t>
      </w:r>
      <w:r>
        <w:rPr>
          <w:rFonts w:ascii="Times New Roman Regular" w:hAnsi="Times New Roman Regular" w:cs="Times New Roman Regular"/>
          <w:color w:val="0000FF"/>
        </w:rPr>
        <w:t xml:space="preserve">Islam et al., 2023). </w:t>
      </w:r>
      <w:r>
        <w:rPr>
          <w:rFonts w:hint="eastAsia" w:ascii="Times New Roman Regular" w:hAnsi="Times New Roman Regular" w:cs="Times New Roman Regular"/>
          <w:color w:val="0000FF"/>
        </w:rPr>
        <w:t>t-SNE is selected for its superior ability to preserve the local non-linear manifold structure of high-dimensional hydrochemical data compared to linear dimensionality reduction methods such as PCA, which is critical for capturing clustered subgroups corresponding to distinct hydrological and contamination processes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Wang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 xml:space="preserve">To balance the preservation of local and global structures, </w:t>
      </w:r>
      <w:r>
        <w:rPr>
          <w:rFonts w:hint="eastAsia" w:ascii="Times New Roman Regular" w:hAnsi="Times New Roman Regular" w:cs="Times New Roman Regular"/>
          <w:color w:val="0000FF"/>
        </w:rPr>
        <w:t>the perplexity is set to 10 based on empirical testing for small sample sizes (n&lt;100), which optimizes the balance between local neighborhood preservation and global structure maintenance</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eastAsia="zh-CN"/>
        </w:rPr>
        <w:t>Kobak et al., 2019</w:t>
      </w:r>
      <w:r>
        <w:rPr>
          <w:rFonts w:hint="default" w:ascii="Times New Roman Regular" w:hAnsi="Times New Roman Regular" w:cs="Times New Roman Regular"/>
          <w:color w:val="0000FF"/>
          <w:lang w:val="en-US"/>
        </w:rPr>
        <w:t>). PCA initialization is used to ensure reproducibility and accelerate convergence, with a maximum iteration number of 1000 and a gradient descent tolerance of 1e-5 set as the convergence criteria</w:t>
      </w:r>
      <w:r>
        <w:rPr>
          <w:rFonts w:ascii="Times New Roman Regular" w:hAnsi="Times New Roman Regular" w:cs="Times New Roman Regular"/>
          <w:color w:val="0000FF"/>
        </w:rPr>
        <w:t>. t-SNE effectively reveals the clustered structure of samples on the low-dimensional manifold, reflecting the differentiation of underlying environmental processes within hydrological seasons (</w:t>
      </w:r>
      <w:r>
        <w:rPr>
          <w:rFonts w:ascii="Times New Roman Regular" w:hAnsi="Times New Roman Regular" w:cs="Times New Roman Regular"/>
          <w:color w:val="0000FF"/>
        </w:rPr>
        <w:t>Liu et al., 2021).</w:t>
      </w:r>
      <w:r>
        <w:rPr>
          <w:rFonts w:hint="default" w:ascii="Times New Roman Regular" w:hAnsi="Times New Roman Regular" w:cs="Times New Roman Regular"/>
          <w:color w:val="0000FF"/>
          <w:lang w:val="en-US"/>
        </w:rPr>
        <w:t xml:space="preserve"> The implementation used the scikit-learn TSNE module with random_state=42 for reproducibility.</w:t>
      </w:r>
    </w:p>
    <w:p w14:paraId="776F6EE7">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3. GMM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lustering and </w:t>
      </w:r>
      <w:r>
        <w:rPr>
          <w:rFonts w:hint="default" w:ascii="Times New Roman Regular" w:hAnsi="Times New Roman Regular" w:cs="Times New Roman Regular"/>
          <w:color w:val="0000FF"/>
          <w:lang w:val="en-US"/>
        </w:rPr>
        <w:t>o</w:t>
      </w:r>
      <w:r>
        <w:rPr>
          <w:rFonts w:ascii="Times New Roman Regular" w:hAnsi="Times New Roman Regular" w:cs="Times New Roman Regular"/>
          <w:color w:val="0000FF"/>
        </w:rPr>
        <w:t xml:space="preserve">ptimal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omponent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election</w:t>
      </w:r>
    </w:p>
    <w:p w14:paraId="08FE793A">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In the t-SNE-reduced low-dimensional space, a Gaussian Mixture Model (GMM) is constructed to characterize the probability density distribution of the data (</w:t>
      </w:r>
      <w:r>
        <w:rPr>
          <w:rFonts w:ascii="Times New Roman Regular" w:hAnsi="Times New Roman Regular" w:cs="Times New Roman Regular"/>
          <w:color w:val="0000FF"/>
        </w:rPr>
        <w:t xml:space="preserve">Jia et al., 2022). The GMM assumes that the data are generated from a linear combination of several Gaussian distributions. </w:t>
      </w:r>
      <w:r>
        <w:rPr>
          <w:rFonts w:hint="eastAsia" w:ascii="Times New Roman Regular" w:hAnsi="Times New Roman Regular" w:cs="Times New Roman Regular"/>
          <w:color w:val="0000FF"/>
        </w:rPr>
        <w:t>The GMM captures the multimodal nature of the hydrochemical data (e.g., distinct clusters corresponding to different contamination levels or redox conditions).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The weights, means, and covariance matrices of each Gaussian component are estimated via the Expectation-Maximization (EM) algorithm, thereby accurately capturing the complex distribution patterns of the data (</w:t>
      </w:r>
      <w:r>
        <w:rPr>
          <w:rFonts w:ascii="Times New Roman Regular" w:hAnsi="Times New Roman Regular" w:cs="Times New Roman Regular"/>
          <w:color w:val="0000FF"/>
        </w:rPr>
        <w:t xml:space="preserve">Yan et al., 2023). To avoid subjectively setting the number of clusters, the Bayesian Information Criterion (BIC) is used to automatically optimize the number of components, K, within the range </w:t>
      </w:r>
      <w:r>
        <w:rPr>
          <w:rFonts w:hint="eastAsia" w:ascii="Times New Roman Regular" w:hAnsi="Times New Roman Regular" w:cs="Times New Roman Regular"/>
          <w:color w:val="0000FF"/>
        </w:rPr>
        <w:t>(1 to 7, where the upper bound was set to approximately n/10 to prevent overfitting given the small sample size)</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Ghodba et al., 2025):</w:t>
      </w:r>
    </w:p>
    <w:p w14:paraId="257D495D">
      <w:pPr>
        <w:spacing w:line="300" w:lineRule="auto"/>
        <w:jc w:val="right"/>
        <w:rPr>
          <w:rFonts w:ascii="Times New Roman Regular" w:hAnsi="Times New Roman Regular" w:cs="Times New Roman Regular"/>
          <w:color w:val="0000FF"/>
        </w:rPr>
      </w:pPr>
      <m:oMath>
        <m:r>
          <m:rPr>
            <m:nor/>
          </m:rPr>
          <w:rPr>
            <w:rFonts w:ascii="DejaVu Math TeX Gyre" w:hAnsi="DejaVu Math TeX Gyre" w:cs="Times New Roman Regular"/>
            <w:b w:val="0"/>
            <w:i/>
            <w:iCs/>
            <w:color w:val="0000FF"/>
          </w:rPr>
          <m:t>BIC(K)=-2</m:t>
        </m:r>
        <m:func>
          <m:funcPr>
            <m:ctrlPr>
              <w:rPr>
                <w:rFonts w:ascii="DejaVu Math TeX Gyre" w:hAnsi="DejaVu Math TeX Gyre" w:cs="Times New Roman Regular"/>
                <w:i/>
                <w:iCs/>
                <w:color w:val="0000FF"/>
              </w:rPr>
            </m:ctrlPr>
          </m:funcPr>
          <m:fName>
            <m:r>
              <m:rPr>
                <m:nor/>
              </m:rPr>
              <w:rPr>
                <w:rFonts w:ascii="DejaVu Math TeX Gyre" w:hAnsi="DejaVu Math TeX Gyre" w:cs="Times New Roman Regular"/>
                <w:b w:val="0"/>
                <w:i/>
                <w:iCs/>
                <w:color w:val="0000FF"/>
              </w:rPr>
              <m:t>log</m:t>
            </m:r>
            <m:ctrlPr>
              <w:rPr>
                <w:rFonts w:ascii="DejaVu Math TeX Gyre" w:hAnsi="DejaVu Math TeX Gyre" w:cs="Times New Roman Regular"/>
                <w:i/>
                <w:iCs/>
                <w:color w:val="0000FF"/>
              </w:rPr>
            </m:ctrlPr>
          </m:fName>
          <m:e>
            <m:r>
              <m:rPr>
                <m:nor/>
              </m:rPr>
              <w:rPr>
                <w:rFonts w:ascii="DejaVu Math TeX Gyre" w:hAnsi="DejaVu Math TeX Gyre" w:eastAsia="MS Mincho" w:cs="MS Mincho"/>
                <w:b w:val="0"/>
                <w:i/>
                <w:iCs/>
                <w:color w:val="0000FF"/>
              </w:rPr>
              <m:t>L</m:t>
            </m:r>
            <m:ctrlPr>
              <w:rPr>
                <w:rFonts w:ascii="DejaVu Math TeX Gyre" w:hAnsi="DejaVu Math TeX Gyre" w:cs="Times New Roman Regular"/>
                <w:i/>
                <w:iCs/>
                <w:color w:val="0000FF"/>
              </w:rPr>
            </m:ctrlPr>
          </m:e>
        </m:func>
        <m:r>
          <m:rPr>
            <m:nor/>
          </m:rPr>
          <w:rPr>
            <w:rFonts w:ascii="DejaVu Math TeX Gyre" w:hAnsi="DejaVu Math TeX Gyre" w:cs="Times New Roman Regular"/>
            <w:b w:val="0"/>
            <w:i/>
            <w:iCs/>
            <w:color w:val="0000FF"/>
          </w:rPr>
          <m:t>+</m:t>
        </m:r>
        <m:sSub>
          <m:sSubPr>
            <m:ctrlPr>
              <w:rPr>
                <w:rFonts w:ascii="DejaVu Math TeX Gyre" w:hAnsi="DejaVu Math TeX Gyre" w:cs="Times New Roman Regular"/>
                <w:i/>
                <w:iCs/>
                <w:color w:val="0000FF"/>
              </w:rPr>
            </m:ctrlPr>
          </m:sSubPr>
          <m:e>
            <m:r>
              <m:rPr>
                <m:nor/>
              </m:rPr>
              <w:rPr>
                <w:rFonts w:ascii="DejaVu Math TeX Gyre" w:hAnsi="DejaVu Math TeX Gyre" w:cs="Times New Roman Regular"/>
                <w:b w:val="0"/>
                <w:i/>
                <w:iCs/>
                <w:color w:val="0000FF"/>
              </w:rPr>
              <m:t>p</m:t>
            </m:r>
            <m:ctrlPr>
              <w:rPr>
                <w:rFonts w:ascii="DejaVu Math TeX Gyre" w:hAnsi="DejaVu Math TeX Gyre" w:cs="Times New Roman Regular"/>
                <w:i/>
                <w:iCs/>
                <w:color w:val="0000FF"/>
              </w:rPr>
            </m:ctrlPr>
          </m:e>
          <m:sub>
            <m:r>
              <m:rPr>
                <m:nor/>
              </m:rPr>
              <w:rPr>
                <w:rFonts w:ascii="DejaVu Math TeX Gyre" w:hAnsi="DejaVu Math TeX Gyre" w:cs="Times New Roman Regular"/>
                <w:b w:val="0"/>
                <w:i/>
                <w:iCs/>
                <w:color w:val="0000FF"/>
              </w:rPr>
              <m:t>K</m:t>
            </m:r>
            <m:ctrlPr>
              <w:rPr>
                <w:rFonts w:ascii="DejaVu Math TeX Gyre" w:hAnsi="DejaVu Math TeX Gyre" w:cs="Times New Roman Regular"/>
                <w:i/>
                <w:iCs/>
                <w:color w:val="0000FF"/>
              </w:rPr>
            </m:ctrlPr>
          </m:sub>
        </m:sSub>
        <m:func>
          <m:funcPr>
            <m:ctrlPr>
              <w:rPr>
                <w:rFonts w:ascii="DejaVu Math TeX Gyre" w:hAnsi="DejaVu Math TeX Gyre" w:cs="Times New Roman Regular"/>
                <w:i/>
                <w:iCs/>
                <w:color w:val="0000FF"/>
              </w:rPr>
            </m:ctrlPr>
          </m:funcPr>
          <m:fName>
            <m:r>
              <m:rPr>
                <m:nor/>
              </m:rPr>
              <w:rPr>
                <w:rFonts w:ascii="DejaVu Math TeX Gyre" w:hAnsi="DejaVu Math TeX Gyre" w:cs="Times New Roman Regular"/>
                <w:b w:val="0"/>
                <w:i/>
                <w:iCs/>
                <w:color w:val="0000FF"/>
              </w:rPr>
              <m:t>log</m:t>
            </m:r>
            <m:ctrlPr>
              <w:rPr>
                <w:rFonts w:ascii="DejaVu Math TeX Gyre" w:hAnsi="DejaVu Math TeX Gyre" w:cs="Times New Roman Regular"/>
                <w:i/>
                <w:iCs/>
                <w:color w:val="0000FF"/>
              </w:rPr>
            </m:ctrlPr>
          </m:fName>
          <m:e>
            <m:r>
              <m:rPr>
                <m:nor/>
              </m:rPr>
              <w:rPr>
                <w:rFonts w:ascii="DejaVu Math TeX Gyre" w:hAnsi="DejaVu Math TeX Gyre" w:cs="Times New Roman Regular"/>
                <w:b w:val="0"/>
                <w:i/>
                <w:iCs/>
                <w:color w:val="0000FF"/>
              </w:rPr>
              <m:t>n</m:t>
            </m:r>
            <m:ctrlPr>
              <w:rPr>
                <w:rFonts w:ascii="DejaVu Math TeX Gyre" w:hAnsi="DejaVu Math TeX Gyre" w:cs="Times New Roman Regular"/>
                <w:i/>
                <w:iCs/>
                <w:color w:val="0000FF"/>
              </w:rPr>
            </m:ctrlPr>
          </m:e>
        </m:func>
      </m:oMath>
      <w:r>
        <w:rPr>
          <w:rFonts w:ascii="Times New Roman Regular" w:hAnsi="Times New Roman Regular" w:cs="Times New Roman Regular"/>
          <w:color w:val="0000FF"/>
        </w:rPr>
        <w:t xml:space="preserve">                       (5)</w:t>
      </w:r>
    </w:p>
    <w:p w14:paraId="52743D77">
      <w:pPr>
        <w:spacing w:line="300" w:lineRule="auto"/>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where L is the model</w:t>
      </w:r>
      <w:r>
        <w:rPr>
          <w:rFonts w:hint="default" w:ascii="Times New Roman Regular" w:hAnsi="Times New Roman Regular" w:cs="Times New Roman Regular"/>
          <w:color w:val="0000FF"/>
          <w:lang w:val="en-US"/>
        </w:rPr>
        <w:t>’</w:t>
      </w:r>
      <w:r>
        <w:rPr>
          <w:rFonts w:ascii="Times New Roman Regular" w:hAnsi="Times New Roman Regular" w:cs="Times New Roman Regular"/>
          <w:color w:val="0000FF"/>
        </w:rPr>
        <w:t>s likelihood, k is the total number of free parameters for a K-component model, and n is the sample size. The value of K corresponding to the minimum BIC is selected as the optimal number of components, ensuring a balance between goodness-of-fit and model complexity.</w:t>
      </w:r>
      <w:r>
        <w:rPr>
          <w:rFonts w:hint="default" w:ascii="Times New Roman Regular" w:hAnsi="Times New Roman Regular" w:cs="Times New Roman Regular"/>
          <w:color w:val="0000FF"/>
          <w:lang w:val="en-US"/>
        </w:rPr>
        <w:t xml:space="preserve"> The GMM was implemented with full covariance type and random_state=42 for reproducibility.</w:t>
      </w:r>
    </w:p>
    <w:p w14:paraId="5066DF6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4. Virtual </w:t>
      </w:r>
      <w:r>
        <w:rPr>
          <w:rFonts w:hint="default" w:ascii="Times New Roman Regular" w:hAnsi="Times New Roman Regular" w:cs="Times New Roman Regular"/>
          <w:color w:val="0000FF"/>
          <w:lang w:val="en-US"/>
        </w:rPr>
        <w:t>s</w:t>
      </w:r>
      <w:r>
        <w:rPr>
          <w:rFonts w:ascii="Times New Roman Regular" w:hAnsi="Times New Roman Regular" w:cs="Times New Roman Regular"/>
          <w:color w:val="0000FF"/>
        </w:rPr>
        <w:t xml:space="preserve">ample </w:t>
      </w:r>
      <w:r>
        <w:rPr>
          <w:rFonts w:hint="default" w:ascii="Times New Roman Regular" w:hAnsi="Times New Roman Regular" w:cs="Times New Roman Regular"/>
          <w:color w:val="0000FF"/>
          <w:lang w:val="en-US"/>
        </w:rPr>
        <w:t>g</w:t>
      </w:r>
      <w:r>
        <w:rPr>
          <w:rFonts w:ascii="Times New Roman Regular" w:hAnsi="Times New Roman Regular" w:cs="Times New Roman Regular"/>
          <w:color w:val="0000FF"/>
        </w:rPr>
        <w:t xml:space="preserve">eneration and </w:t>
      </w:r>
      <w:r>
        <w:rPr>
          <w:rFonts w:hint="default" w:ascii="Times New Roman Regular" w:hAnsi="Times New Roman Regular" w:cs="Times New Roman Regular"/>
          <w:color w:val="0000FF"/>
          <w:lang w:val="en-US"/>
        </w:rPr>
        <w:t>i</w:t>
      </w:r>
      <w:r>
        <w:rPr>
          <w:rFonts w:ascii="Times New Roman Regular" w:hAnsi="Times New Roman Regular" w:cs="Times New Roman Regular"/>
          <w:color w:val="0000FF"/>
        </w:rPr>
        <w:t xml:space="preserve">nverse </w:t>
      </w:r>
      <w:r>
        <w:rPr>
          <w:rFonts w:hint="default" w:ascii="Times New Roman Regular" w:hAnsi="Times New Roman Regular" w:cs="Times New Roman Regular"/>
          <w:color w:val="0000FF"/>
          <w:lang w:val="en-US"/>
        </w:rPr>
        <w:t>m</w:t>
      </w:r>
      <w:r>
        <w:rPr>
          <w:rFonts w:ascii="Times New Roman Regular" w:hAnsi="Times New Roman Regular" w:cs="Times New Roman Regular"/>
          <w:color w:val="0000FF"/>
        </w:rPr>
        <w:t>apping</w:t>
      </w:r>
    </w:p>
    <w:p w14:paraId="4F3A3614">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 xml:space="preserve">Based on the optimal GMM, a specified number of virtual points are randomly sampled from its joint probability distribution. </w:t>
      </w:r>
      <w:r>
        <w:rPr>
          <w:rFonts w:hint="eastAsia" w:ascii="Times New Roman Regular" w:hAnsi="Times New Roman Regular" w:cs="Times New Roman Regular"/>
          <w:color w:val="0000FF"/>
        </w:rPr>
        <w:t xml:space="preserve">In this study, </w:t>
      </w:r>
      <w:r>
        <w:rPr>
          <w:rFonts w:hint="eastAsia" w:ascii="Times New Roman Regular" w:hAnsi="Times New Roman Regular" w:cs="Times New Roman Regular"/>
          <w:color w:val="0000FF"/>
          <w:lang w:val="en-US" w:eastAsia="zh-CN"/>
        </w:rPr>
        <w:t xml:space="preserve">generation </w:t>
      </w:r>
      <w:r>
        <w:rPr>
          <w:rFonts w:hint="eastAsia" w:ascii="Times New Roman Regular" w:hAnsi="Times New Roman Regular" w:cs="Times New Roman Regular"/>
          <w:color w:val="0000FF"/>
        </w:rPr>
        <w:t xml:space="preserve">factors ranging from </w:t>
      </w:r>
      <w:r>
        <w:rPr>
          <w:rFonts w:hint="default" w:ascii="Times New Roman Regular" w:hAnsi="Times New Roman Regular" w:cs="Times New Roman Regular"/>
          <w:color w:val="0000FF"/>
          <w:lang w:val="en-US"/>
        </w:rPr>
        <w:t>1x</w:t>
      </w:r>
      <w:r>
        <w:rPr>
          <w:rFonts w:hint="eastAsia" w:ascii="Times New Roman Regular" w:hAnsi="Times New Roman Regular" w:cs="Times New Roman Regular"/>
          <w:color w:val="0000FF"/>
        </w:rPr>
        <w:t xml:space="preserve"> to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the original sample size were tested, with the 10</w:t>
      </w:r>
      <w:r>
        <w:rPr>
          <w:rFonts w:hint="default" w:ascii="Times New Roman Regular" w:hAnsi="Times New Roman Regular" w:cs="Times New Roman Regular"/>
          <w:color w:val="0000FF"/>
          <w:lang w:val="en-US"/>
        </w:rPr>
        <w:t xml:space="preserve">x generation </w:t>
      </w:r>
      <w:r>
        <w:rPr>
          <w:rFonts w:hint="eastAsia" w:ascii="Times New Roman Regular" w:hAnsi="Times New Roman Regular" w:cs="Times New Roman Regular"/>
          <w:color w:val="0000FF"/>
        </w:rPr>
        <w:t>(n_virtual = n_original</w:t>
      </w:r>
      <w:r>
        <w:rPr>
          <w:rFonts w:hint="default" w:ascii="Times New Roman Regular" w:hAnsi="Times New Roman Regular" w:cs="Times New Roman Regular"/>
          <w:color w:val="0000FF"/>
          <w:lang w:val="en-US"/>
        </w:rPr>
        <w:t xml:space="preserve"> x </w:t>
      </w:r>
      <w:r>
        <w:rPr>
          <w:rFonts w:hint="eastAsia" w:ascii="Times New Roman Regular" w:hAnsi="Times New Roman Regular" w:cs="Times New Roman Regular"/>
          <w:color w:val="0000FF"/>
        </w:rPr>
        <w:t xml:space="preserve">10) yielding optimal model performance. </w:t>
      </w:r>
      <w:r>
        <w:rPr>
          <w:rFonts w:ascii="Times New Roman Regular" w:hAnsi="Times New Roman Regular" w:cs="Times New Roman Regular"/>
          <w:color w:val="0000FF"/>
        </w:rPr>
        <w:t xml:space="preserve">This generation process naturally inherits the multi-modality and covariance structure of the original data. </w:t>
      </w:r>
      <w:r>
        <w:rPr>
          <w:rFonts w:hint="eastAsia" w:ascii="Times New Roman Regular" w:hAnsi="Times New Roman Regular" w:cs="Times New Roman Regular"/>
          <w:color w:val="0000FF"/>
        </w:rPr>
        <w:t>Since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xml:space="preserve"> was included in the initial feature space, the generated low-dimensional points inherently contain information corresponding to both input variables and nitrate concentrations</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rPr>
        <w:t>Based on the optimal GMM, virtual samples are generated by randomly sampling from the joint probability distribution in the 2D t-SNE latent space. To reconstruct these synthetic 2D points back into the original 8-dimensional geochemical feature space (including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eastAsia" w:ascii="Times New Roman Regular" w:hAnsi="Times New Roman Regular" w:cs="Times New Roman Regular"/>
          <w:color w:val="0000FF"/>
        </w:rPr>
        <w:t xml:space="preserve"> concentrations), a K-Nearest Neighbors (KNN) regressor is employed as an inverse mapping function</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 xml:space="preserve">Niu et al., 2025). </w:t>
      </w:r>
      <w:r>
        <w:rPr>
          <w:rFonts w:hint="eastAsia" w:ascii="Times New Roman Regular" w:hAnsi="Times New Roman Regular" w:cs="Times New Roman Regular"/>
          <w:color w:val="0000FF"/>
        </w:rPr>
        <w:t>The KNN regressor was configured with n_neighbors=min(5, n_original-1) to ensure sufficient reference points while maintaining local fidelity.</w:t>
      </w:r>
      <w:r>
        <w:rPr>
          <w:rFonts w:hint="default" w:ascii="Times New Roman Regular" w:hAnsi="Times New Roman Regular" w:cs="Times New Roman Regular"/>
          <w:color w:val="0000FF"/>
          <w:lang w:val="en-US"/>
        </w:rPr>
        <w:t xml:space="preserve"> This neighbor number is selected to balance the smoothness of inverse mapping and the preservation of local data characteristics, avoiding over-smoothing of extreme values. The KNN model is fitted on the original t-SNE embedding results (as independent variables) and the original standardized high-dimensional hydrochemical data (as dependent variables), establishing a non-linear mapping relationship from the low-dimensional latent space to the original high-dimensional feature space. </w:t>
      </w:r>
      <w:r>
        <w:rPr>
          <w:rFonts w:ascii="Times New Roman Regular" w:hAnsi="Times New Roman Regular" w:cs="Times New Roman Regular"/>
          <w:color w:val="0000FF"/>
        </w:rPr>
        <w:t>Finally, the virtual sample set in its original physical units is obtained by applying inverse standardization.</w:t>
      </w:r>
      <w:r>
        <w:rPr>
          <w:rFonts w:hint="default" w:ascii="Times New Roman Regular" w:hAnsi="Times New Roman Regular" w:cs="Times New Roman Regular"/>
          <w:color w:val="0000FF"/>
          <w:lang w:val="en-US"/>
        </w:rPr>
        <w:t xml:space="preserve"> This inverse mapping process synchronously generates the virtual values of all input hydrochemical variables and the corresponding target </w:t>
      </w:r>
      <w:r>
        <w:rPr>
          <w:rFonts w:hint="eastAsia"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concentration for each virtual sample, ensuring the one-to-one correspondence between input predictors and the target variable required for subsequent random forest (RF) modeling. During subsequent Random Forest modeling, the generated </w:t>
      </w:r>
      <w:r>
        <w:rPr>
          <w:rFonts w:hint="eastAsia"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values are separated from the predictors and serve as the target variable (y), while the remaining hydrochemical parameters serve as input features (X).</w:t>
      </w:r>
    </w:p>
    <w:p w14:paraId="2A7C064B">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 xml:space="preserve">5. Physical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 xml:space="preserve">onstraints and </w:t>
      </w:r>
      <w:r>
        <w:rPr>
          <w:rFonts w:hint="default" w:ascii="Times New Roman Regular" w:hAnsi="Times New Roman Regular" w:cs="Times New Roman Regular"/>
          <w:color w:val="0000FF"/>
          <w:lang w:val="en-US"/>
        </w:rPr>
        <w:t>q</w:t>
      </w:r>
      <w:r>
        <w:rPr>
          <w:rFonts w:ascii="Times New Roman Regular" w:hAnsi="Times New Roman Regular" w:cs="Times New Roman Regular"/>
          <w:color w:val="0000FF"/>
        </w:rPr>
        <w:t xml:space="preserve">uality </w:t>
      </w:r>
      <w:r>
        <w:rPr>
          <w:rFonts w:hint="default" w:ascii="Times New Roman Regular" w:hAnsi="Times New Roman Regular" w:cs="Times New Roman Regular"/>
          <w:color w:val="0000FF"/>
          <w:lang w:val="en-US"/>
        </w:rPr>
        <w:t>c</w:t>
      </w:r>
      <w:r>
        <w:rPr>
          <w:rFonts w:ascii="Times New Roman Regular" w:hAnsi="Times New Roman Regular" w:cs="Times New Roman Regular"/>
          <w:color w:val="0000FF"/>
        </w:rPr>
        <w:t>ontrol</w:t>
      </w:r>
    </w:p>
    <w:p w14:paraId="730A37D2">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For the target variable,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ascii="Times New Roman Regular" w:hAnsi="Times New Roman Regular" w:cs="Times New Roman Regular"/>
          <w:color w:val="0000FF"/>
        </w:rPr>
        <w:t>, a non-negativity constraint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 0 mg 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is imposed to prevent non-physical solutions that may arise from the regression approximation. </w:t>
      </w:r>
      <w:r>
        <w:rPr>
          <w:rFonts w:hint="eastAsia" w:ascii="Times New Roman Regular" w:hAnsi="Times New Roman Regular" w:cs="Times New Roman Regular"/>
          <w:color w:val="0000FF"/>
        </w:rPr>
        <w:t>This constraint was enforced using numpy.clip() function post-generation.</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Other variables, such as pH and ORP, are allowed to fluctuate within reasonable ranges without hard clipping to retain the model's flexibility. The consistency between the virtual and measured samples is validated by comparing their statistical characteristics, including mean, standard deviation, coefficient of variation, range of extreme values, and boxplot distributions.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This comparison confirms that the generated data are highly consistent with the original data in terms of statistical properties, without introducing systematic bias or outliers.</w:t>
      </w:r>
      <w:r>
        <w:rPr>
          <w:rFonts w:hint="default" w:ascii="Times New Roman Regular" w:hAnsi="Times New Roman Regular" w:cs="Times New Roman Regular"/>
          <w:color w:val="0000FF"/>
          <w:lang w:val="en-US"/>
        </w:rPr>
        <w:t xml:space="preserve"> The generated virtual samples are complete synthetic observations containing both the predictor variables and nitrate concentrations. These are concatenated with the original measured data to form an augmented training dataset. During Random Forest (RF) training, the 7 water quality parameters (pH, T, EC, DO, ORP, Salt, TDS) serve as input features (X), while the NO</w:t>
      </w:r>
      <w:r>
        <w:rPr>
          <w:rFonts w:hint="default" w:ascii="Times New Roman Regular" w:hAnsi="Times New Roman Regular" w:cs="Times New Roman Regular"/>
          <w:color w:val="0000FF"/>
          <w:vertAlign w:val="subscript"/>
          <w:lang w:val="en-US"/>
        </w:rPr>
        <w:t>3</w:t>
      </w:r>
      <w:r>
        <w:rPr>
          <w:rFonts w:hint="default" w:ascii="Times New Roman Regular" w:hAnsi="Times New Roman Regular" w:cs="Times New Roman Regular"/>
          <w:color w:val="0000FF"/>
          <w:vertAlign w:val="superscript"/>
          <w:lang w:val="en-US"/>
        </w:rPr>
        <w:t>-</w:t>
      </w:r>
      <w:r>
        <w:rPr>
          <w:rFonts w:hint="default" w:ascii="Times New Roman Regular" w:hAnsi="Times New Roman Regular" w:cs="Times New Roman Regular"/>
          <w:color w:val="0000FF"/>
          <w:lang w:val="en-US"/>
        </w:rPr>
        <w:t xml:space="preserve"> column (from both original and virtual samples) serves as the target variable (y). This approach effectively increases the training sample size while maintaining the geochemical integrity of the feature-target relationships, thereby mitigating small-sample bias and improving the model's ability to capture heavy-tailed distributions.</w:t>
      </w:r>
    </w:p>
    <w:p w14:paraId="6A0C658D">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The advantages of this method are as follows: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① t-SNE excels at capturing local neighborhood relationships, effectively separating implicit subgroups under different hydrological conditions.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② The GMM provides a probabilistic generative framework, supporting reasonable extrapolation for heavy-tailed distributions and extreme values.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③ The KNN-based inverse mapping circumvents the need for large training datasets, which is a limitation of traditional autoencoders, making it particularly suitable for small-sample scenarios (</w:t>
      </w:r>
      <w:r>
        <w:rPr>
          <w:rFonts w:ascii="Times New Roman Regular" w:hAnsi="Times New Roman Regular" w:cs="Times New Roman Regular"/>
          <w:color w:val="0000FF"/>
        </w:rPr>
        <w:t>Tang et al., 2022; Razavi-Termeh et al., 2024).</w:t>
      </w:r>
      <w:r>
        <w:rPr>
          <w:rFonts w:hint="default" w:ascii="Times New Roman Regular" w:hAnsi="Times New Roman Regular" w:cs="Times New Roman Regular"/>
          <w:color w:val="0000FF"/>
          <w:lang w:val="en-US"/>
        </w:rPr>
        <w:t xml:space="preserve"> ④ By modeling the joint distribution of predictors and target, the method ensures that generated virtual nitrate concentrations are chemically consistent with the accompanying hydrochemical indicators, avoiding unrealistic combinations that could degrade model performance.</w:t>
      </w:r>
    </w:p>
    <w:p w14:paraId="4B5537FF">
      <w:pPr>
        <w:keepNext w:val="0"/>
        <w:keepLines w:val="0"/>
        <w:pageBreakBefore w:val="0"/>
        <w:widowControl w:val="0"/>
        <w:numPr>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color w:val="0000FF"/>
          <w:lang w:val="en-US" w:eastAsia="zh-CN"/>
        </w:rPr>
      </w:pPr>
    </w:p>
    <w:p w14:paraId="61F21A5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textAlignment w:val="auto"/>
        <w:rPr>
          <w:rFonts w:hint="default" w:ascii="Times New Roman Regular" w:hAnsi="Times New Roman Regular" w:cs="Times New Roman Regular"/>
          <w:lang w:eastAsia="zh-CN"/>
        </w:rPr>
      </w:pPr>
    </w:p>
    <w:p w14:paraId="15559305">
      <w:pPr>
        <w:keepNext w:val="0"/>
        <w:keepLines w:val="0"/>
        <w:pageBreakBefore w:val="0"/>
        <w:widowControl w:val="0"/>
        <w:numPr>
          <w:ilvl w:val="0"/>
          <w:numId w:val="2"/>
        </w:numPr>
        <w:kinsoku/>
        <w:wordWrap/>
        <w:overflowPunct/>
        <w:topLinePunct w:val="0"/>
        <w:autoSpaceDE/>
        <w:autoSpaceDN/>
        <w:bidi w:val="0"/>
        <w:adjustRightInd/>
        <w:snapToGrid/>
        <w:spacing w:line="300" w:lineRule="auto"/>
        <w:ind w:left="420" w:leftChars="0" w:hanging="420" w:firstLineChars="0"/>
        <w:textAlignment w:val="auto"/>
        <w:rPr>
          <w:rFonts w:hint="default" w:ascii="Times New Roman Regular" w:hAnsi="Times New Roman Regular" w:cs="Times New Roman Regular"/>
          <w:lang w:eastAsia="zh-CN"/>
        </w:rPr>
      </w:pPr>
      <w:r>
        <w:rPr>
          <w:rFonts w:hint="default" w:ascii="Times New Roman Regular" w:hAnsi="Times New Roman Regular" w:cs="Times New Roman Regular"/>
          <w:lang w:eastAsia="zh-CN"/>
        </w:rPr>
        <w:t>Which inputs are used for the RF models? Are the nitrate concentrations modelled based on the other water quality parameters and the Alpha Earth Foundation data. If this is the case, isn’t the prediction of nitrate concentration merely a correlation with the remaining water quality parameters? In practice it would be strange to measure all these water quality parameters (of which some are quite costly) to predict the nitrate concentration. I do understand that this analysis is interesting to gain insight into the functioning of the nitrate dynamics in your groundwater system.</w:t>
      </w:r>
    </w:p>
    <w:p w14:paraId="61D02206">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eastAsia="zh-CN"/>
        </w:rPr>
      </w:pPr>
    </w:p>
    <w:p w14:paraId="16126BB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We sincerely thank the reviewer for this insightful comment. You have raised a critical point regarding the practical application and input variables of our Random Forest (RF) models. We would like to clarify the model inputs, the distinct purposes of the two modeling scenarios, and the practical rationale for using field-measurable water quality parameters as predictors. We have revised the manuscript to make these points clearer.</w:t>
      </w:r>
    </w:p>
    <w:p w14:paraId="46A5FB45">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Our study employs two distinct modeling scenarios with different inputs:</w:t>
      </w:r>
    </w:p>
    <w:p w14:paraId="55859FAC">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eastAsia="zh-CN"/>
        </w:rPr>
      </w:pPr>
      <w:r>
        <w:rPr>
          <w:rFonts w:hint="default" w:ascii="Times New Roman Regular" w:hAnsi="Times New Roman Regular" w:cs="Times New Roman Regular"/>
          <w:color w:val="0000FF"/>
          <w:lang w:eastAsia="zh-CN"/>
        </w:rPr>
        <w:t xml:space="preserve">Scenario 1 (Field </w:t>
      </w:r>
      <w:r>
        <w:rPr>
          <w:rFonts w:hint="eastAsia" w:ascii="Times New Roman Regular" w:hAnsi="Times New Roman Regular" w:cs="Times New Roman Regular"/>
          <w:color w:val="0000FF"/>
          <w:lang w:val="en-US" w:eastAsia="zh-CN"/>
        </w:rPr>
        <w:t>w</w:t>
      </w:r>
      <w:r>
        <w:rPr>
          <w:rFonts w:hint="default" w:ascii="Times New Roman Regular" w:hAnsi="Times New Roman Regular" w:cs="Times New Roman Regular"/>
          <w:color w:val="0000FF"/>
          <w:lang w:eastAsia="zh-CN"/>
        </w:rPr>
        <w:t xml:space="preserve">ater </w:t>
      </w:r>
      <w:r>
        <w:rPr>
          <w:rFonts w:hint="default" w:ascii="Times New Roman Regular" w:hAnsi="Times New Roman Regular" w:cs="Times New Roman Regular"/>
          <w:color w:val="0000FF"/>
          <w:lang w:val="en-US" w:eastAsia="zh-CN"/>
        </w:rPr>
        <w:t>q</w:t>
      </w:r>
      <w:r>
        <w:rPr>
          <w:rFonts w:hint="default" w:ascii="Times New Roman Regular" w:hAnsi="Times New Roman Regular" w:cs="Times New Roman Regular"/>
          <w:color w:val="0000FF"/>
          <w:lang w:eastAsia="zh-CN"/>
        </w:rPr>
        <w:t xml:space="preserve">uality </w:t>
      </w:r>
      <w:r>
        <w:rPr>
          <w:rFonts w:hint="default" w:ascii="Times New Roman Regular" w:hAnsi="Times New Roman Regular" w:cs="Times New Roman Regular"/>
          <w:color w:val="0000FF"/>
          <w:lang w:val="en-US" w:eastAsia="zh-CN"/>
        </w:rPr>
        <w:t>p</w:t>
      </w:r>
      <w:r>
        <w:rPr>
          <w:rFonts w:hint="default" w:ascii="Times New Roman Regular" w:hAnsi="Times New Roman Regular" w:cs="Times New Roman Regular"/>
          <w:color w:val="0000FF"/>
          <w:lang w:eastAsia="zh-CN"/>
        </w:rPr>
        <w:t>arameters): The</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eastAsia="zh-CN"/>
        </w:rPr>
        <w:t xml:space="preserve">models use 7 in-situ measured hydrochemical parameters (pH, Temperature, EC, DO, ORP, Salt, TDS) as inputs to predict </w:t>
      </w:r>
      <w:r>
        <w:rPr>
          <w:rFonts w:hint="eastAsia" w:ascii="Times New Roman Regular" w:hAnsi="Times New Roman Regular" w:cs="Times New Roman Regular"/>
          <w:color w:val="0000FF"/>
          <w:lang w:val="en-US" w:eastAsia="zh-CN"/>
        </w:rPr>
        <w:t>n</w:t>
      </w:r>
      <w:r>
        <w:rPr>
          <w:rFonts w:hint="default" w:ascii="Times New Roman Regular" w:hAnsi="Times New Roman Regular" w:cs="Times New Roman Regular"/>
          <w:color w:val="0000FF"/>
          <w:lang w:eastAsia="zh-CN"/>
        </w:rPr>
        <w:t>itrate</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lang w:val="en-US" w:eastAsia="zh-CN"/>
        </w:rPr>
        <w:t>concentration</w:t>
      </w:r>
      <w:r>
        <w:rPr>
          <w:rFonts w:hint="default" w:ascii="Times New Roman Regular" w:hAnsi="Times New Roman Regular" w:cs="Times New Roman Regular"/>
          <w:color w:val="0000FF"/>
          <w:lang w:eastAsia="zh-CN"/>
        </w:rPr>
        <w:t>.</w:t>
      </w:r>
    </w:p>
    <w:p w14:paraId="62FE01CA">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eastAsia="zh-CN"/>
        </w:rPr>
        <w:t xml:space="preserve">Scenario 2 (Remote </w:t>
      </w:r>
      <w:r>
        <w:rPr>
          <w:rFonts w:hint="default" w:ascii="Times New Roman Regular" w:hAnsi="Times New Roman Regular" w:cs="Times New Roman Regular"/>
          <w:color w:val="0000FF"/>
          <w:lang w:val="en-US" w:eastAsia="zh-CN"/>
        </w:rPr>
        <w:t>s</w:t>
      </w:r>
      <w:r>
        <w:rPr>
          <w:rFonts w:hint="default" w:ascii="Times New Roman Regular" w:hAnsi="Times New Roman Regular" w:cs="Times New Roman Regular"/>
          <w:color w:val="0000FF"/>
          <w:lang w:eastAsia="zh-CN"/>
        </w:rPr>
        <w:t xml:space="preserve">ensing </w:t>
      </w:r>
      <w:r>
        <w:rPr>
          <w:rFonts w:hint="default" w:ascii="Times New Roman Regular" w:hAnsi="Times New Roman Regular" w:cs="Times New Roman Regular"/>
          <w:color w:val="0000FF"/>
          <w:lang w:val="en-US" w:eastAsia="zh-CN"/>
        </w:rPr>
        <w:t>e</w:t>
      </w:r>
      <w:r>
        <w:rPr>
          <w:rFonts w:hint="default" w:ascii="Times New Roman Regular" w:hAnsi="Times New Roman Regular" w:cs="Times New Roman Regular"/>
          <w:color w:val="0000FF"/>
          <w:lang w:eastAsia="zh-CN"/>
        </w:rPr>
        <w:t>mbeddings): The models use only the AlphaEarth Foundation (AEF) semantic embedding vectors (derived from satellite data) as inputs, without any field water quality parameters.</w:t>
      </w:r>
      <w:r>
        <w:rPr>
          <w:rFonts w:hint="default" w:ascii="Times New Roman Regular" w:hAnsi="Times New Roman Regular" w:cs="Times New Roman Regular"/>
          <w:color w:val="0000FF"/>
          <w:lang w:val="en-US" w:eastAsia="zh-CN"/>
        </w:rPr>
        <w:t xml:space="preserve"> We used the 64-dimensional AlphaEarth Foundation (AEF) semantic embedding vectors derived from remote sensing data (Landsat, Sentinel-2), compressed via PCA to retain &gt;95% variance. </w:t>
      </w:r>
    </w:p>
    <w:p w14:paraId="57D7D038">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eastAsia="zh-CN"/>
        </w:rPr>
        <w:t>The input water quality parameters (pH, EC, TDS, DO, ORP, etc.) can be rapidly acquired on-site using portable multi-parameter water quality meters (e.g., Hach HQ400) within minutes, requiring minimal sample preparation. In contrast, nitrate concentration determination typically requires laboratory-based analysis (e.g., ion chromatography or flow injection analysis), which involves sample preservation, transportation, and longer processing times. Therefore, using rapidly obtainable field parameters to estimate nitrate concentrations offers a practical pathway for preliminary screening and real-time decision-making in field surveys, especially when immediate laboratory results are unavailable.</w:t>
      </w:r>
      <w:r>
        <w:rPr>
          <w:rFonts w:hint="default" w:ascii="Times New Roman Regular" w:hAnsi="Times New Roman Regular" w:cs="Times New Roman Regular"/>
          <w:color w:val="0000FF"/>
          <w:lang w:val="en-US" w:eastAsia="zh-CN"/>
        </w:rPr>
        <w:t xml:space="preserve"> </w:t>
      </w:r>
    </w:p>
    <w:p w14:paraId="18BCF43F">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AEF-based model is designed specifically for large-scale screening in unmonitored regions where no field data exists, addressing the practical constraint of costly field sampling.</w:t>
      </w:r>
    </w:p>
    <w:p w14:paraId="0EA49FD3">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RF models, enhanced by SHAP analysis, identify physically meaningful drivers of nitrate dynamics. This approach is consistent with established practices in hydrogeological research. Our finding that TDS and EC consistently emerge as top predictors aligns with established hydrochemical principles. Recent studies have demonstrated strong physical relationships between nitrate and these parameters, for instance, Karahan et al. developed ANN models using EC, TDS, TH, Mg, Na, Cl, HCO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lang w:val="en-US" w:eastAsia="zh-CN"/>
        </w:rPr>
        <w:t>, and SO</w:t>
      </w:r>
      <w:r>
        <w:rPr>
          <w:rFonts w:hint="default" w:ascii="Times New Roman Regular" w:hAnsi="Times New Roman Regular" w:cs="Times New Roman Regular"/>
          <w:color w:val="0000FF"/>
          <w:vertAlign w:val="subscript"/>
          <w:lang w:val="en-US" w:eastAsia="zh-CN"/>
        </w:rPr>
        <w:t>4</w:t>
      </w:r>
      <w:r>
        <w:rPr>
          <w:rFonts w:hint="default"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color w:val="0000FF"/>
          <w:lang w:val="en-US" w:eastAsia="zh-CN"/>
        </w:rPr>
        <w:t xml:space="preserve"> to predict nitrate concentrations, establishing that these variables reflect the ionic environment governing nitrogen transport. Similarly, Mamun et al. developed SVM models using EC and TDS as key predictors of groundwater nitrate, confirming that these parameters capture the mineralization and concentration processes affecting nitrate distribution. Importantly, Lee et al. (2023) specifically validated the use of field-measured parameters (pH, EC, temperature, DO, ORP) as effective predictors of groundwater nitrate susceptibility, achieving R² values of 0.52-0.80 with Random Forest models. Their study emphasized that these parameters are “indirect indicators of groundwater quality that can be easily measured” and are closely related to geochemical properties controlling contaminant infiltration. This supports our approach of using standard hydrochemical parameters that reflect underlying nitrogen cycling processes.</w:t>
      </w:r>
    </w:p>
    <w:p w14:paraId="5342647C">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fully agree with your assessment that measuring all water quality parameters solely to predict nitrate would be economically impractical. The primary scientific objective of this study is mechanistic understanding and methodological innovation for seasonal nitrate dynamics, not to replace standard nitrate analysis with expensive multi-parameter monitoring.</w:t>
      </w:r>
    </w:p>
    <w:p w14:paraId="6A4BD328">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To avoid confusion and explicitly address your concern, we have revised the Abstract, Methods (Section 2.2.1), Discussion (Section 4.5), and Conclusions to clearly distinguish the application scenarios of the two input types. The field-parameter model serves both for mechanistic understanding and for rapid field estimation, while the AEF model is for practical, cost-effective regional screening.</w:t>
      </w:r>
    </w:p>
    <w:p w14:paraId="589B9CA9">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eastAsia="zh-CN"/>
        </w:rPr>
      </w:pPr>
    </w:p>
    <w:p w14:paraId="0DE334B2">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References:</w:t>
      </w:r>
    </w:p>
    <w:p w14:paraId="466496E1">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Karahan H, Erkan Can M, 2025. A Novel Method to Forecast Nitrate Concentration Levels in Irrigation Areas for Sustainable Agriculture[J]. Agriculture, 15(2): 161.</w:t>
      </w:r>
    </w:p>
    <w:p w14:paraId="506628D2">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Mamun A, 2025. Nitrate–Conductivity Correlations in Aqueous Environments: From Standard Solutions to Natural Water Bodies[J]. Nitrogen, 6(2): 41.</w:t>
      </w:r>
    </w:p>
    <w:p w14:paraId="3424D6A7">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Lee J M, Ko K S, Yoo K, 2023. A machine learning-based approach to predict groundwater nitrate susceptibility using field measurements and hydrogeological variables in the Nonsan Stream Watershed, South Korea[J]. Applied Water Science, 13(12): 242.</w:t>
      </w:r>
    </w:p>
    <w:p w14:paraId="06808AD0">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p>
    <w:p w14:paraId="57E2E352">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47202401">
      <w:pPr>
        <w:spacing w:line="300" w:lineRule="auto"/>
        <w:outlineLvl w:val="0"/>
        <w:rPr>
          <w:rFonts w:hint="default" w:ascii="Times New Roman Bold" w:hAnsi="Times New Roman Bold" w:cs="Times New Roman Bold"/>
          <w:b/>
          <w:bCs/>
          <w:color w:val="0000FF"/>
        </w:rPr>
      </w:pPr>
      <w:r>
        <w:rPr>
          <w:rFonts w:hint="default" w:ascii="Times New Roman Bold" w:hAnsi="Times New Roman Bold" w:cs="Times New Roman Bold"/>
          <w:b/>
          <w:bCs/>
          <w:color w:val="0000FF"/>
        </w:rPr>
        <w:t>Abstract</w:t>
      </w:r>
    </w:p>
    <w:p w14:paraId="42AAE729">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rPr>
        <w:t>Precise seasonal prediction of groundwater nitrate concentrations in intensive agricultural areas faces challenges such as data sparsity, strong spatiotemporal heterogeneity, and complex hydro-biogeochemical processes. To address these issues, this study proposes an integrated prediction framework combining hybrid quantum-classical machine learning, advanced virtual sample generation (t-SNE-GMM-KNN), and remote sensing foundation model semantic embedding (AEF). Modeling was conducted across the 2022-2023 normal, dry, and wet seasons in Xiong'an New Area. Hydrochemical types were dominated by Ca-Mg-HCO</w:t>
      </w:r>
      <w:r>
        <w:rPr>
          <w:rFonts w:hint="default" w:ascii="Times New Roman Regular" w:hAnsi="Times New Roman Regular" w:cs="Times New Roman Regular"/>
          <w:color w:val="0000FF"/>
          <w:vertAlign w:val="subscript"/>
        </w:rPr>
        <w:t>3</w:t>
      </w:r>
      <w:r>
        <w:rPr>
          <w:rFonts w:hint="default" w:ascii="Times New Roman Regular" w:hAnsi="Times New Roman Regular" w:cs="Times New Roman Regular"/>
          <w:color w:val="0000FF"/>
          <w:vertAlign w:val="superscript"/>
        </w:rPr>
        <w:t>-</w:t>
      </w:r>
      <w:r>
        <w:rPr>
          <w:rFonts w:hint="default" w:ascii="Times New Roman Regular" w:hAnsi="Times New Roman Regular" w:cs="Times New Roman Regular"/>
          <w:color w:val="0000FF"/>
        </w:rPr>
        <w:t>, controlled by mineral dissolution and evaporation. Nitrate concentrations were highest in the dry season (mean 42.93 mg L</w:t>
      </w:r>
      <w:r>
        <w:rPr>
          <w:rFonts w:hint="default" w:ascii="Times New Roman Regular" w:hAnsi="Times New Roman Regular" w:cs="Times New Roman Regular"/>
          <w:color w:val="0000FF"/>
          <w:vertAlign w:val="superscript"/>
        </w:rPr>
        <w:t>-1</w:t>
      </w:r>
      <w:r>
        <w:rPr>
          <w:rFonts w:hint="default" w:ascii="Times New Roman Regular" w:hAnsi="Times New Roman Regular" w:cs="Times New Roman Regular"/>
          <w:color w:val="0000FF"/>
        </w:rPr>
        <w:t xml:space="preserve">), driven by evaporative concentration. Spatially, high-value zones shifted: southeast (normal), central (dry), and northwest (wet). MixSIAR modeling based on isotopes indicated domestic sewage and livestock manure (74.1%) as dominant sources. The t-SNE-GMM-KNN strategy mitigated small-sample bias while preserving nonlinear structure. When virtual samples were augmented to 10-fold, the Random Forest </w:t>
      </w:r>
      <w:r>
        <w:rPr>
          <w:rFonts w:hint="eastAsia" w:ascii="Times New Roman Regular" w:hAnsi="Times New Roman Regular" w:cs="Times New Roman Regular"/>
          <w:color w:val="0000FF"/>
          <w:lang w:val="en-US" w:eastAsia="zh-CN"/>
        </w:rPr>
        <w:t>R</w:t>
      </w:r>
      <w:r>
        <w:rPr>
          <w:rFonts w:hint="eastAsia"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color w:val="0000FF"/>
        </w:rPr>
        <w:t xml:space="preserve"> in the dry season increased from 0.284 to &gt;0.85. Furthermore, a hybrid quantum-classical Random Forest exhibited superior robustness for data sparsity, achieving peak performance in the normal season (</w:t>
      </w:r>
      <w:r>
        <w:rPr>
          <w:rFonts w:hint="default" w:ascii="Times New Roman Regular" w:hAnsi="Times New Roman Regular" w:cs="Times New Roman Regular"/>
          <w:color w:val="0000FF"/>
          <w:lang w:val="en-US"/>
        </w:rPr>
        <w:t>R</w:t>
      </w:r>
      <w:r>
        <w:rPr>
          <w:rFonts w:hint="default" w:ascii="Times New Roman Regular" w:hAnsi="Times New Roman Regular" w:cs="Times New Roman Regular"/>
          <w:color w:val="0000FF"/>
          <w:vertAlign w:val="superscript"/>
          <w:lang w:val="en-US"/>
        </w:rPr>
        <w:t>2</w:t>
      </w:r>
      <w:r>
        <w:rPr>
          <w:rFonts w:hint="default" w:ascii="Times New Roman Regular" w:hAnsi="Times New Roman Regular" w:cs="Times New Roman Regular"/>
          <w:color w:val="0000FF"/>
        </w:rPr>
        <w:t>=0.962, RMSE=5.73 mg L</w:t>
      </w:r>
      <w:r>
        <w:rPr>
          <w:rFonts w:hint="default" w:ascii="Times New Roman Regular" w:hAnsi="Times New Roman Regular" w:cs="Times New Roman Regular"/>
          <w:color w:val="0000FF"/>
          <w:vertAlign w:val="superscript"/>
        </w:rPr>
        <w:t>-1</w:t>
      </w:r>
      <w:r>
        <w:rPr>
          <w:rFonts w:hint="default" w:ascii="Times New Roman Regular" w:hAnsi="Times New Roman Regular" w:cs="Times New Roman Regular"/>
          <w:color w:val="0000FF"/>
        </w:rPr>
        <w:t>). Additionally, using only AEF embeddings achieved screening-level accuracy (</w:t>
      </w:r>
      <w:r>
        <w:rPr>
          <w:rFonts w:hint="default" w:ascii="Times New Roman Regular" w:hAnsi="Times New Roman Regular" w:cs="Times New Roman Regular"/>
          <w:color w:val="0000FF"/>
          <w:lang w:val="en-US"/>
        </w:rPr>
        <w:t>R</w:t>
      </w:r>
      <w:r>
        <w:rPr>
          <w:rFonts w:hint="default" w:ascii="Times New Roman Regular" w:hAnsi="Times New Roman Regular" w:cs="Times New Roman Regular"/>
          <w:color w:val="0000FF"/>
          <w:vertAlign w:val="superscript"/>
          <w:lang w:val="en-US"/>
        </w:rPr>
        <w:t>2</w:t>
      </w:r>
      <w:r>
        <w:rPr>
          <w:rFonts w:hint="default" w:ascii="Times New Roman Regular" w:hAnsi="Times New Roman Regular" w:cs="Times New Roman Regular"/>
          <w:color w:val="0000FF"/>
        </w:rPr>
        <w:t xml:space="preserve"> up to 0.860), providing a feasible rapid survey scheme for extensive unmonitored regions</w:t>
      </w:r>
      <w:r>
        <w:rPr>
          <w:rFonts w:hint="default" w:ascii="Times New Roman Regular" w:hAnsi="Times New Roman Regular" w:cs="Times New Roman Regular"/>
          <w:color w:val="0000FF"/>
          <w:lang w:val="en-US"/>
        </w:rPr>
        <w:t>, where field sampling is impractical, whereas the field-parameter-based model serves primarily to elucidate hydrochemical driving mechanisms and enables rapid on-site nitrate estimation using portable water quality meters</w:t>
      </w:r>
      <w:r>
        <w:rPr>
          <w:rFonts w:hint="default" w:ascii="Times New Roman Regular" w:hAnsi="Times New Roman Regular" w:cs="Times New Roman Regular"/>
          <w:color w:val="0000FF"/>
        </w:rPr>
        <w:t>. Correlation analysis identified TDS and EC as persistent top predictors (r&gt;0.8). This comprehensive framework offers a robust solution for seasonal nitrate prediction by distinguishing between mechanistic analysis, field-operational estimation, and large-scale screening</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and sustainable water management</w:t>
      </w:r>
      <w:r>
        <w:rPr>
          <w:rFonts w:hint="default" w:ascii="Times New Roman Regular" w:hAnsi="Times New Roman Regular" w:cs="Times New Roman Regular"/>
          <w:color w:val="0000FF"/>
          <w:lang w:val="en-US"/>
        </w:rPr>
        <w:t>.</w:t>
      </w:r>
    </w:p>
    <w:p w14:paraId="018E3383">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p>
    <w:p w14:paraId="2D37ED2E">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2.2.1 </w:t>
      </w:r>
      <w:r>
        <w:rPr>
          <w:rFonts w:ascii="Times New Roman Regular" w:hAnsi="Times New Roman Regular" w:cs="Times New Roman Regular"/>
          <w:color w:val="0000FF"/>
        </w:rPr>
        <w:t xml:space="preserve">Field </w:t>
      </w:r>
      <w:r>
        <w:rPr>
          <w:rFonts w:hint="eastAsia" w:ascii="Times New Roman Regular" w:hAnsi="Times New Roman Regular" w:cs="Times New Roman Regular"/>
          <w:color w:val="0000FF"/>
        </w:rPr>
        <w:t>sampling data and laboratory analysis</w:t>
      </w:r>
    </w:p>
    <w:p w14:paraId="5592C0C5">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 xml:space="preserve">Field investigations and the collection of hydrochemical and isotopic samples were conducted in the study area from 2022 to 2023. </w:t>
      </w:r>
      <w:r>
        <w:rPr>
          <w:rFonts w:hint="eastAsia" w:ascii="Times New Roman Regular" w:hAnsi="Times New Roman Regular" w:cs="Times New Roman Regular"/>
          <w:color w:val="0000FF"/>
        </w:rPr>
        <w:t>The temporal resolution for groundwater sampling was designed as seasonal snapshots, with campaigns occurring in October 2022 (normal season), April 2023 (dry season), and August 2023 (wet season), representing a temporal interval of approximately 4-6 months between surveys</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A total of 66, 65, and 50 groundwater samples were collected in October 2022, April 2023, and August 2023, respectively. All groundwater samples were obtained from existing agricultural irrigation wells within the study area.</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Prior to sample collection, each well was purged by pumping. Sampling commenced only after the pumped volume exceeded three times the well's casing volume and on-site parameters had stabilized (i.e., showing minor fluctuations around a constant value rather than a continuous rising or falling trend), a procedure implemented to ensure the representativeness of the samples.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At each sampling point, one 1000 mL and two 100 mL samples were collected. Before final collection, the sample bottles were rinsed three times with the water to be sampled. Immediately after collection, the samples were sealed and stored in a portable cooler for transport to the laboratory for subsequent analysis. Furthermore, the precise geographical location of each sampling point was recorded using a GPS device.</w:t>
      </w:r>
      <w:r>
        <w:rPr>
          <w:rFonts w:hint="default" w:ascii="Times New Roman Regular" w:hAnsi="Times New Roman Regular" w:cs="Times New Roman Regular"/>
          <w:color w:val="0000FF"/>
          <w:lang w:val="en-US"/>
        </w:rPr>
        <w:t xml:space="preserve"> Regarding data completeness and missing data handling, all collected samples underwent rigorous screening. Samples with incomplete physicochemical records or those failing initial quality checks were excluded from the final dataset. Consequently, the modeling dataset achieved 100% completeness with no missing values requiring imputation or interpolation.</w:t>
      </w:r>
    </w:p>
    <w:p w14:paraId="3999F810">
      <w:pPr>
        <w:spacing w:line="300" w:lineRule="auto"/>
        <w:ind w:firstLine="420"/>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In-situ physicochemical parameters were measured using a Hach HQ400 multi-parameter water quality meter (</w:t>
      </w:r>
      <w:r>
        <w:rPr>
          <w:rFonts w:ascii="Times New Roman Regular" w:hAnsi="Times New Roman Regular" w:cs="Times New Roman Regular"/>
          <w:color w:val="0000FF"/>
        </w:rPr>
        <w:t>Li et al., 2022). The measured parameters included water temperature (T, °C), pH, total dissolved solids (TDS, mg</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dissolved oxygen (DO, mg</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L</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electrical conductivity (EC, μS</w:t>
      </w:r>
      <w:r>
        <w:rPr>
          <w:rFonts w:hint="eastAsia" w:ascii="Times New Roman Regular" w:hAnsi="Times New Roman Regular" w:cs="Times New Roman Regular"/>
          <w:color w:val="0000FF"/>
        </w:rPr>
        <w:t xml:space="preserve"> </w:t>
      </w:r>
      <w:r>
        <w:rPr>
          <w:rFonts w:ascii="Times New Roman Regular" w:hAnsi="Times New Roman Regular" w:cs="Times New Roman Regular"/>
          <w:color w:val="0000FF"/>
        </w:rPr>
        <w:t>cm</w:t>
      </w:r>
      <w:r>
        <w:rPr>
          <w:rFonts w:hint="eastAsia"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and oxidation-reduction potential (ORP, mV). </w:t>
      </w:r>
      <w:r>
        <w:rPr>
          <w:rFonts w:hint="eastAsia" w:ascii="Times New Roman Regular" w:hAnsi="Times New Roman Regular" w:cs="Times New Roman Regular"/>
          <w:color w:val="0000FF"/>
        </w:rPr>
        <w:t>These parameters can be acquired rapidly in the field with minimal sample preparation, offering a practical advantage over laboratory-based nitrate determination which requires sample preservation, transportation, and longer analytical processing times. This operational efficiency motivates the use of field-measurable parameters as predictors for preliminary nitrate concentration estimation.</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The concentration of HCO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was determined within 24 hours of sample collection using the dilute sulfuric acid-methyl orange titration method (</w:t>
      </w:r>
      <w:r>
        <w:rPr>
          <w:rFonts w:ascii="Times New Roman Regular" w:hAnsi="Times New Roman Regular" w:cs="Times New Roman Regular"/>
          <w:color w:val="0000FF"/>
        </w:rPr>
        <w:t>Huang et al., 2012). Prior to the determination of cations and anions, water samples were filtered through 0.45 μm membrane filters. Major cations (K</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Ca</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Na</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Mg</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were analyzed using an inductively coupled plasma optical emission spectrometer (Avio 500). Major anions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Cl</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SO</w:t>
      </w:r>
      <w:r>
        <w:rPr>
          <w:rFonts w:ascii="Times New Roman Regular" w:hAnsi="Times New Roman Regular" w:cs="Times New Roman Regular"/>
          <w:color w:val="0000FF"/>
          <w:vertAlign w:val="subscript"/>
        </w:rPr>
        <w:t>4</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were analyzed using an ion chromatograph (ICS-2100). The analytical precision for cations and anions was controlled within ±0.2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and the charge balance error was maintained within 5% to ensure reliability. The concentrations of nitrite nitrogen and ammonia nitrogen were determined using a flow injection analyzer (Smartchem 200, AMS Alliance)</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 xml:space="preserve">and measured using dual wavelength spectrophotometry and the indophenol blue method </w:t>
      </w:r>
      <w:r>
        <w:rPr>
          <w:rFonts w:ascii="Times New Roman Regular" w:hAnsi="Times New Roman Regular" w:cs="Times New Roman Regular"/>
          <w:color w:val="0000FF"/>
        </w:rPr>
        <w:t>(</w:t>
      </w:r>
      <w:r>
        <w:rPr>
          <w:rFonts w:ascii="Times New Roman Regular" w:hAnsi="Times New Roman Regular" w:cs="Times New Roman Regular"/>
          <w:color w:val="0000FF"/>
        </w:rPr>
        <w:t>Kim et al., 2019</w:t>
      </w:r>
      <w:r>
        <w:rPr>
          <w:rFonts w:hint="default" w:ascii="Times New Roman Regular" w:hAnsi="Times New Roman Regular" w:cs="Times New Roman Regular"/>
          <w:color w:val="0000FF"/>
          <w:lang w:val="en-US"/>
        </w:rPr>
        <w:t>; Sun et al., 2022</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The limits of detection for nitrite nitrogen and ammonium nitrogen were both 0.01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ascii="Times New Roman Regular" w:hAnsi="Times New Roman Regular" w:cs="Times New Roman Regular"/>
          <w:color w:val="0000FF"/>
        </w:rPr>
        <w:t>For the analysis of stable hydrogen and oxygen isotopes, water samples were filtered through 0.22 μm membrane filters and measured using an LGR liquid water isotope analyzer (TIWA-45-EP). The analytical precisions for δ</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H, δ</w:t>
      </w:r>
      <w:r>
        <w:rPr>
          <w:rFonts w:ascii="Times New Roman Regular" w:hAnsi="Times New Roman Regular" w:cs="Times New Roman Regular"/>
          <w:color w:val="0000FF"/>
          <w:vertAlign w:val="superscript"/>
        </w:rPr>
        <w:t>17</w:t>
      </w:r>
      <w:r>
        <w:rPr>
          <w:rFonts w:ascii="Times New Roman Regular" w:hAnsi="Times New Roman Regular" w:cs="Times New Roman Regular"/>
          <w:color w:val="0000FF"/>
        </w:rPr>
        <w:t>O, and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 were ±0.15‰, ±0.02‰, and ±0.02‰, respectively (</w:t>
      </w:r>
      <w:r>
        <w:rPr>
          <w:rFonts w:ascii="Times New Roman Regular" w:hAnsi="Times New Roman Regular" w:cs="Times New Roman Regular"/>
          <w:color w:val="0000FF"/>
        </w:rPr>
        <w:t>Hamidi et al., 2023). The isotopic compositions of nitrate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and δ</w:t>
      </w:r>
      <w:r>
        <w:rPr>
          <w:rFonts w:ascii="Times New Roman Regular" w:hAnsi="Times New Roman Regular" w:cs="Times New Roman Regular"/>
          <w:color w:val="0000FF"/>
          <w:vertAlign w:val="superscript"/>
        </w:rPr>
        <w:t>15</w:t>
      </w:r>
      <w:r>
        <w:rPr>
          <w:rFonts w:ascii="Times New Roman Regular" w:hAnsi="Times New Roman Regular" w:cs="Times New Roman Regular"/>
          <w:color w:val="0000FF"/>
        </w:rPr>
        <w:t>N-NO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were determined using a MAT-253 mass spectrometer coupled with an elemental analyzer (</w:t>
      </w:r>
      <w:r>
        <w:rPr>
          <w:rFonts w:ascii="Times New Roman Regular" w:hAnsi="Times New Roman Regular" w:cs="Times New Roman Regular"/>
          <w:color w:val="0000FF"/>
        </w:rPr>
        <w:t>Li et al., 2022). To ensure analytical precision, standard references, reagent blanks, and duplicate samples were employed. Furthermore, international standards USGS 34 and USGS 35 were used for δ</w:t>
      </w:r>
      <w:r>
        <w:rPr>
          <w:rFonts w:ascii="Times New Roman Regular" w:hAnsi="Times New Roman Regular" w:cs="Times New Roman Regular"/>
          <w:color w:val="0000FF"/>
          <w:vertAlign w:val="superscript"/>
        </w:rPr>
        <w:t>18</w:t>
      </w:r>
      <w:r>
        <w:rPr>
          <w:rFonts w:ascii="Times New Roman Regular" w:hAnsi="Times New Roman Regular" w:cs="Times New Roman Regular"/>
          <w:color w:val="0000FF"/>
        </w:rPr>
        <w:t>O quality control, while USGS 32 and USGS 34 were used for δ</w:t>
      </w:r>
      <w:r>
        <w:rPr>
          <w:rFonts w:ascii="Times New Roman Regular" w:hAnsi="Times New Roman Regular" w:cs="Times New Roman Regular"/>
          <w:color w:val="0000FF"/>
          <w:vertAlign w:val="superscript"/>
        </w:rPr>
        <w:t>15</w:t>
      </w:r>
      <w:r>
        <w:rPr>
          <w:rFonts w:ascii="Times New Roman Regular" w:hAnsi="Times New Roman Regular" w:cs="Times New Roman Regular"/>
          <w:color w:val="0000FF"/>
        </w:rPr>
        <w:t>N quality control. All isotope results are reported in per mil (δ, ‰).</w:t>
      </w:r>
      <w:r>
        <w:rPr>
          <w:rFonts w:hint="default" w:ascii="Times New Roman Regular" w:hAnsi="Times New Roman Regular" w:cs="Times New Roman Regular"/>
          <w:color w:val="0000FF"/>
          <w:lang w:val="en-US"/>
        </w:rPr>
        <w:t xml:space="preserve"> No interpolation or smoothing techniques were applied to the raw hydrochemical data to preserve the inherent variability of the groundwater system. The sole exception was the spatial visualization of nitrate concentration distributions(</w:t>
      </w:r>
      <w:r>
        <w:rPr>
          <w:rFonts w:hint="default" w:ascii="Times New Roman Regular" w:hAnsi="Times New Roman Regular" w:cs="Times New Roman Regular"/>
          <w:color w:val="0000FF"/>
          <w:lang w:val="en-US"/>
        </w:rPr>
        <w:t>Fig.7), where ordinary Kriging interpolation was applied exclusively for cartographic representation using Surfer software(Golden Software, LLC). This interpolation was used solely for generating continuous surface maps and was not employed for data augmentation, missing value imputation, or model input generation.</w:t>
      </w:r>
    </w:p>
    <w:p w14:paraId="65F7E2FB">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p>
    <w:p w14:paraId="3573A025">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4.</w:t>
      </w:r>
      <w:r>
        <w:rPr>
          <w:rFonts w:hint="default" w:ascii="Times New Roman Regular" w:hAnsi="Times New Roman Regular" w:cs="Times New Roman Regular"/>
          <w:color w:val="0000FF"/>
          <w:lang w:val="en-US"/>
        </w:rPr>
        <w:t>5</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rPr>
        <w:t xml:space="preserve">Limitations and </w:t>
      </w:r>
      <w:r>
        <w:rPr>
          <w:rFonts w:hint="default" w:ascii="Times New Roman Regular" w:hAnsi="Times New Roman Regular" w:cs="Times New Roman Regular"/>
          <w:color w:val="0000FF"/>
          <w:lang w:val="en-US"/>
        </w:rPr>
        <w:t>f</w:t>
      </w:r>
      <w:r>
        <w:rPr>
          <w:rFonts w:hint="default" w:ascii="Times New Roman Regular" w:hAnsi="Times New Roman Regular" w:cs="Times New Roman Regular"/>
          <w:color w:val="0000FF"/>
        </w:rPr>
        <w:t xml:space="preserve">uture </w:t>
      </w:r>
      <w:r>
        <w:rPr>
          <w:rFonts w:hint="default" w:ascii="Times New Roman Regular" w:hAnsi="Times New Roman Regular" w:cs="Times New Roman Regular"/>
          <w:color w:val="0000FF"/>
          <w:lang w:val="en-US"/>
        </w:rPr>
        <w:t>d</w:t>
      </w:r>
      <w:r>
        <w:rPr>
          <w:rFonts w:hint="default" w:ascii="Times New Roman Regular" w:hAnsi="Times New Roman Regular" w:cs="Times New Roman Regular"/>
          <w:color w:val="0000FF"/>
        </w:rPr>
        <w:t>irections</w:t>
      </w:r>
    </w:p>
    <w:p w14:paraId="323AB55F">
      <w:pPr>
        <w:spacing w:line="300" w:lineRule="auto"/>
        <w:ind w:firstLine="420"/>
        <w:outlineLvl w:val="9"/>
        <w:rPr>
          <w:rFonts w:hint="eastAsia" w:ascii="Times New Roman Regular" w:hAnsi="Times New Roman Regular" w:cs="Times New Roman Regular" w:eastAsiaTheme="minorEastAsia"/>
          <w:color w:val="0000FF"/>
          <w:lang w:eastAsia="zh-CN"/>
        </w:rPr>
      </w:pPr>
      <w:r>
        <w:rPr>
          <w:rFonts w:hint="eastAsia" w:ascii="Times New Roman Regular" w:hAnsi="Times New Roman Regular" w:cs="Times New Roman Regular" w:eastAsiaTheme="minorEastAsia"/>
          <w:color w:val="0000FF"/>
          <w:lang w:eastAsia="zh-CN"/>
        </w:rPr>
        <w:t>While the 66, 65, and 50 sampling points for the normal, dry, and wet seasons respectively provided sufficient coverage for the 3000-hectare unmanned farm, the spatial representativeness of these discrete sampling points may not fully capture fine-scale heterogeneities in agricultural landscapes where nitrate leaching exhibits strong local-scale variability governed by micro-topography, soil texture transitions, and uneven fertilizer application patterns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Li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The seasonal snapshot approach</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though capturing critical hydrological transitions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inevitably sacrifices temporal resolution inherent to continuous monitoring systems. The 4</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6 month intervals between campaigns may miss episodic recharge events, short-term fertilizer leaching pulses following intensive rainfall, or transient biogeochemical shifts during freeze</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thaw cycles that are particularly relevant in the North China Plain</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s monsoonal climate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Nolte</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The single-year observation period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2023) also precludes assessment of inter-annual climatic variability (e.g., El Niño</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Southern Oscillation impacts) and long-term legacy nitrogen depletion dynamics. We acknowledge that our model predictions, while robust for the observed seasonal windows, may exhibit reduced reliability during extreme hydrological years or under future climate scenarios where non-stationarity in precipitation patterns could alter nitrate mobilization pathways.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Several sources of systematic bias warrant explicit acknowledgment. First, the reliance on irrigation wells for sampling introduces a hydrological connectivity bias: our dataset overrepresents shallow, actively exploited aquifer zones while potentially excluding deeper, stagnant groundwater bodies with distinct nitrate signatures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Second, the MixSIAR source apportionment relies on literature-derived end-member isotopic signatures that may not fully capture local biogeochemical fractionation specific to the North China Plain's thick vadose zone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Jiang</w:t>
      </w:r>
      <w:r>
        <w:rPr>
          <w:rFonts w:hint="default" w:ascii="Times New Roman Regular" w:hAnsi="Times New Roman Regular" w:cs="Times New Roman Regular"/>
          <w:color w:val="0000FF"/>
          <w:lang w:val="en-US"/>
        </w:rPr>
        <w:t xml:space="preserve"> et al., 2026</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Third, the virtual sample generation strategy, while effective for addressing data sparsity, may inadvertently amplify representational biases present in the original small sample sets</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eastAsiaTheme="minorEastAsia"/>
          <w:color w:val="0000FF"/>
          <w:lang w:eastAsia="zh-CN"/>
        </w:rPr>
        <w:t xml:space="preserve">particularly the overrepresentation of high-concentration outliers during the dry season, potentially skewing model sensitivity toward extreme values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Tanner</w:t>
      </w:r>
      <w:r>
        <w:rPr>
          <w:rFonts w:hint="default" w:ascii="Times New Roman Regular" w:hAnsi="Times New Roman Regular" w:cs="Times New Roman Regular"/>
          <w:color w:val="0000FF"/>
          <w:lang w:val="en-US"/>
        </w:rPr>
        <w:t xml:space="preserve"> et al., 2022</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p>
    <w:p w14:paraId="7495B7F6">
      <w:pPr>
        <w:spacing w:line="300" w:lineRule="auto"/>
        <w:ind w:firstLine="420"/>
        <w:outlineLvl w:val="9"/>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eastAsiaTheme="minorEastAsia"/>
          <w:color w:val="0000FF"/>
          <w:lang w:eastAsia="zh-CN"/>
        </w:rPr>
        <w:t>While the hybrid quantum-classical framework demonstrated superior performance within the Xiong</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an New Area, its extrapolation validity to hydrogeologically dissimilar regions remains untested and likely limited without domain adaptation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Dai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Recent advances in multi-site deep learning architectures suggest that pooling data from hydrogeologically similar regions could enhance generalizability; however, our single-site experimental design precludes assessment of such transfer learning benefits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Clark</w:t>
      </w:r>
      <w:r>
        <w:rPr>
          <w:rFonts w:hint="default" w:ascii="Times New Roman Regular" w:hAnsi="Times New Roman Regular" w:cs="Times New Roman Regular"/>
          <w:color w:val="0000FF"/>
          <w:lang w:val="en-US"/>
        </w:rPr>
        <w:t xml:space="preserve"> et al., 2025; </w:t>
      </w:r>
      <w:r>
        <w:rPr>
          <w:rFonts w:hint="default" w:ascii="Times New Roman Regular" w:hAnsi="Times New Roman Regular" w:cs="Times New Roman Regular"/>
          <w:color w:val="0000FF"/>
        </w:rPr>
        <w:t>Farahani</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 xml:space="preserve">. Future work should implement leave-one-region-out cross-validation and explore meta-learning approaches to disentangle universal nitrate transport principles from site-specific idiosyncrasies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rPr>
        <w:t>Yu</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eastAsiaTheme="minorEastAsia"/>
          <w:color w:val="0000FF"/>
          <w:lang w:eastAsia="zh-CN"/>
        </w:rPr>
        <w:t>.</w:t>
      </w:r>
      <w:r>
        <w:rPr>
          <w:rFonts w:hint="default" w:ascii="Times New Roman Regular" w:hAnsi="Times New Roman Regular" w:cs="Times New Roman Regular"/>
          <w:color w:val="0000FF"/>
          <w:lang w:val="en-US" w:eastAsia="zh-CN"/>
        </w:rPr>
        <w:t xml:space="preserve"> Regarding extrapolation to hydrogeologically dissimilar regions, the current framework’s validity is intrinsically linked to the specific hydrogeochemical context of the North China Plain, particularly its thick vadose zone, semi-arid climate, and intensive agricultural land use. Direct model transfer to regions with contrasting characteristics (e.g., karst aquifers with thin soils, humid tropical climates, or nitrate-dominated fertilizer regimes) would likely suffer from domain shift issues (</w:t>
      </w:r>
      <w:r>
        <w:rPr>
          <w:rFonts w:hint="default" w:ascii="Times New Roman Regular" w:hAnsi="Times New Roman Regular" w:cs="Times New Roman Regular"/>
          <w:color w:val="0000FF"/>
          <w:lang w:val="en-US" w:eastAsia="zh-CN"/>
        </w:rPr>
        <w:t>Dai et al., 2025). We emphasize that the proposed t-SNE-GMM-KNN methodology is portable, but model parameters require recalibration using local hydrochemical data. Future implementation should adopt domain adaptation techniques, such as adversarial training or feature alignment between source and target domains. to enable cross-regional application without extensive new sampling campaigns (</w:t>
      </w:r>
      <w:r>
        <w:rPr>
          <w:rFonts w:hint="default" w:ascii="Times New Roman Regular" w:hAnsi="Times New Roman Regular" w:cs="Times New Roman Regular"/>
          <w:color w:val="0000FF"/>
        </w:rPr>
        <w:t>Zheng</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 Additionally, meta-learning approaches that leverage multi-site hydrochemical databases could disentangle universal nitrate transport principles from site-specific idiosyncrasies, enhancing the framework's generalizability across diverse hydrogeological settings (</w:t>
      </w:r>
      <w:r>
        <w:rPr>
          <w:rFonts w:hint="default" w:ascii="Times New Roman Regular" w:hAnsi="Times New Roman Regular" w:cs="Times New Roman Regular"/>
          <w:color w:val="0000FF"/>
          <w:lang w:val="en-US" w:eastAsia="zh-CN"/>
        </w:rPr>
        <w:t>Yu et al., 2025).</w:t>
      </w:r>
    </w:p>
    <w:p w14:paraId="5798FDAE">
      <w:pPr>
        <w:spacing w:line="300" w:lineRule="auto"/>
        <w:ind w:firstLine="420"/>
        <w:outlineLvl w:val="9"/>
        <w:rPr>
          <w:rFonts w:hint="default" w:ascii="Times New Roman Regular" w:hAnsi="Times New Roman Regular" w:cs="Times New Roman Regular"/>
          <w:color w:val="0000FF"/>
          <w:lang w:val="en-US"/>
        </w:rPr>
      </w:pPr>
      <w:r>
        <w:rPr>
          <w:rFonts w:ascii="Times New Roman Regular" w:hAnsi="Times New Roman Regular" w:cs="Times New Roman Regular"/>
          <w:color w:val="0000FF"/>
        </w:rPr>
        <w:t>Modeling performance using only AEF embeddings as input generally yields an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approximately 10-20% lower than that achieved using measured water quality parameters. </w:t>
      </w:r>
      <w:r>
        <w:rPr>
          <w:rFonts w:hint="eastAsia" w:ascii="Times New Roman Regular" w:hAnsi="Times New Roman Regular" w:cs="Times New Roman Regular"/>
          <w:color w:val="0000FF"/>
        </w:rPr>
        <w:t>This discrepancy likely stems from the fact that water quality parameters directly reflect the immediate state of the groundwater chemical environment and exhibit direct relationships with nitrate transport and transformation processes, whereas surface remote sensing semantics provide only an indirect characterization</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 xml:space="preserve">Alam et al., 2025). </w:t>
      </w:r>
      <w:r>
        <w:rPr>
          <w:rFonts w:hint="eastAsia" w:ascii="Times New Roman Regular" w:hAnsi="Times New Roman Regular" w:cs="Times New Roman Regular"/>
          <w:color w:val="0000FF"/>
        </w:rPr>
        <w:t xml:space="preserve">We acknowledge that relying on field parameters such as EC and TDS to predict nitrate is primarily valuable for understanding hydrochemical correlations rather than reducing monitoring costs if all parameters must be measured alongside nitrate. However, a key practical advantage is that the input water quality parameters(pH, EC, TDS, DO, ORP, etc.) can be rapidly acquired on-site using portable multi-parameter meters(e.g., Hach HQ400) within minutes, whereas nitrate determination typically requires laboratory-based analysis with longer processing times. Therefore, the field-parameter model offers a practical pathway for preliminary screening and real-time decision-making in field surveys when immediate laboratory results are unavailable. </w:t>
      </w:r>
      <w:r>
        <w:rPr>
          <w:rFonts w:ascii="Times New Roman Regular" w:hAnsi="Times New Roman Regular" w:cs="Times New Roman Regular"/>
          <w:color w:val="0000FF"/>
        </w:rPr>
        <w:t>After 10-fold virtual expansion, the AEF model still achieves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values of &gt;0.67 in the dry season, &gt;0.85 in the normal season, and &gt;0.78 in the wet season, </w:t>
      </w:r>
      <w:r>
        <w:rPr>
          <w:rFonts w:hint="eastAsia" w:ascii="Times New Roman Regular" w:hAnsi="Times New Roman Regular" w:cs="Times New Roman Regular"/>
          <w:color w:val="0000FF"/>
        </w:rPr>
        <w:t>supporting its feasibility</w:t>
      </w:r>
      <w:r>
        <w:rPr>
          <w:rFonts w:ascii="Times New Roman Regular" w:hAnsi="Times New Roman Regular" w:cs="Times New Roman Regular"/>
          <w:color w:val="0000FF"/>
        </w:rPr>
        <w:t xml:space="preserve"> as a rapid large-scale screening tool, particularly in unmonitored areas. Seasonal shifts in feature importance (dominated by A05/A00 in the normal season, A08/A06 in the dry season, A02/A03 in the wet season) suggest potential physical interpretations. A05/A00 may encode crop residue or soil organic matter information, A08/A06 may characterize the degree of bare soil exposure, and A02/A03 may reflect vegetation growth status or surface runoff potential</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Alvarez et al., 2025)</w:t>
      </w:r>
      <w:r>
        <w:rPr>
          <w:rFonts w:ascii="Times New Roman Regular" w:hAnsi="Times New Roman Regular" w:cs="Times New Roman Regular"/>
          <w:color w:val="0000FF"/>
        </w:rPr>
        <w:t xml:space="preserve">. These </w:t>
      </w:r>
      <w:r>
        <w:rPr>
          <w:rFonts w:hint="eastAsia" w:ascii="Times New Roman Regular" w:hAnsi="Times New Roman Regular" w:cs="Times New Roman Regular"/>
          <w:color w:val="0000FF"/>
        </w:rPr>
        <w:t>interpretations</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align with MixSIAR source apportionment and Bayesian driving factors. Although causal inference remains indirect, the global coverage and annual update characteristics of AEF make it a powerful supplement rather than a substitute for large-scale monitoring</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Cai et al., 2025)</w:t>
      </w:r>
      <w:r>
        <w:rPr>
          <w:rFonts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Ground-truth validation remains essential for establishing definitive relationships between remote sensing signals and subsurface water quality (</w:t>
      </w:r>
      <w:r>
        <w:rPr>
          <w:rFonts w:hint="default" w:ascii="Times New Roman Regular" w:hAnsi="Times New Roman Regular" w:cs="Times New Roman Regular"/>
          <w:color w:val="0000FF"/>
          <w:lang w:val="en-US"/>
        </w:rPr>
        <w:t>Tollefson et al., 2025).</w:t>
      </w:r>
    </w:p>
    <w:p w14:paraId="602356B2">
      <w:pPr>
        <w:keepNext w:val="0"/>
        <w:keepLines w:val="0"/>
        <w:pageBreakBefore w:val="0"/>
        <w:widowControl w:val="0"/>
        <w:kinsoku/>
        <w:wordWrap/>
        <w:overflowPunct/>
        <w:topLinePunct w:val="0"/>
        <w:autoSpaceDE/>
        <w:autoSpaceDN/>
        <w:bidi w:val="0"/>
        <w:adjustRightInd/>
        <w:snapToGrid/>
        <w:spacing w:line="300" w:lineRule="auto"/>
        <w:ind w:left="420" w:hanging="420" w:hangingChars="200"/>
        <w:textAlignment w:val="auto"/>
        <w:rPr>
          <w:rFonts w:hint="default" w:ascii="Times New Roman Regular" w:hAnsi="Times New Roman Regular" w:cs="Times New Roman Regular"/>
          <w:color w:val="0000FF"/>
          <w:lang w:val="en-US" w:eastAsia="zh-CN"/>
        </w:rPr>
      </w:pPr>
    </w:p>
    <w:p w14:paraId="78E2528E">
      <w:pPr>
        <w:keepNext w:val="0"/>
        <w:keepLines w:val="0"/>
        <w:pageBreakBefore w:val="0"/>
        <w:widowControl w:val="0"/>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p>
    <w:p w14:paraId="7752BC3F">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More information on the methodology of the virtual sample generation and RF models is required in my opinion. Additionally, the results are mainly validated based on boxplots of observed and predicted nitrate concentrations. A more thorough validation of the predictions should be added.</w:t>
      </w:r>
    </w:p>
    <w:p w14:paraId="67117117">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46F9556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thank the reviewer for these constructive comments. We agree that detailed methodological descriptions and a multi-dimensional validation framework are crucial for robustness. We have made the following revisions:</w:t>
      </w:r>
    </w:p>
    <w:p w14:paraId="1289A14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Methodology enhancement: We have expanded Section 2.4 (t-SNE-GMM-KNN) and Section 2.5 (Machine learning methods) to include specific parameter settings (e.g., perplexity, BIC ranges, KNN neighbors, RF hyperparameter grid search ranges) and the rationale behind their selection.</w:t>
      </w:r>
    </w:p>
    <w:p w14:paraId="2F5D06D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Thorough validation: We acknowledge that boxplots alone are insufficient. In the revised manuscript, we have strengthened the validation discussion in Section 3.4 and Section 4.3 to explicitly highlight our comprehensive validation framework, which includes:</w:t>
      </w:r>
    </w:p>
    <w:p w14:paraId="15288BC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Bootstrap and cross-validation uncertainty: We utilized Leave-One-Out Cross-Validation (LOOCV) combined with Bootstrap resampling (1000 iterations) to calculate 95% Confidence Intervals (CI) for all evaluation metrics (R</w:t>
      </w:r>
      <w:r>
        <w:rPr>
          <w:rFonts w:hint="eastAsia"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color w:val="0000FF"/>
          <w:lang w:val="en-US" w:eastAsia="zh-CN"/>
        </w:rPr>
        <w:t>, RMSE, MAE), ensuring statistical reliability beyond single-point estimates.</w:t>
      </w:r>
    </w:p>
    <w:p w14:paraId="3DCCB69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Sensitivity </w:t>
      </w:r>
      <w:r>
        <w:rPr>
          <w:rFonts w:hint="eastAsia" w:ascii="Times New Roman Regular" w:hAnsi="Times New Roman Regular" w:cs="Times New Roman Regular"/>
          <w:color w:val="0000FF"/>
          <w:lang w:val="en-US" w:eastAsia="zh-CN"/>
        </w:rPr>
        <w:t>a</w:t>
      </w:r>
      <w:r>
        <w:rPr>
          <w:rFonts w:hint="default" w:ascii="Times New Roman Regular" w:hAnsi="Times New Roman Regular" w:cs="Times New Roman Regular"/>
          <w:color w:val="0000FF"/>
          <w:lang w:val="en-US" w:eastAsia="zh-CN"/>
        </w:rPr>
        <w:t>nalysis of key parameters: We conducted a multi-dimensional sensitivity analysis system, including: (1) Global sensitivity analysis based on the Sobol’ index (first-order and total-order indices), to quantify the independent and interactive contributions of each input hydrochemical parameter to nitrate prediction; (2) One-at-a-time (OAT) feature perturbation test (±30% fluctuation of the measured range of each parameter), to calculate the perturbation sensitivity of the model’s R</w:t>
      </w:r>
      <w:r>
        <w:rPr>
          <w:rFonts w:hint="default" w:ascii="Times New Roman Regular" w:hAnsi="Times New Roman Regular" w:cs="Times New Roman Regular"/>
          <w:color w:val="0000FF"/>
          <w:vertAlign w:val="superscript"/>
          <w:lang w:val="en-US" w:eastAsia="zh-CN"/>
        </w:rPr>
        <w:t>2</w:t>
      </w:r>
      <w:r>
        <w:rPr>
          <w:rFonts w:hint="default" w:ascii="Times New Roman Regular" w:hAnsi="Times New Roman Regular" w:cs="Times New Roman Regular"/>
          <w:color w:val="0000FF"/>
          <w:lang w:val="en-US" w:eastAsia="zh-CN"/>
        </w:rPr>
        <w:t xml:space="preserve"> to single parameter changes; (3) Elasticity coefficient calculation, to quantify the directional response degree of nitrate concentration prediction to per unit change of each parameter. </w:t>
      </w:r>
    </w:p>
    <w:p w14:paraId="54C6A4D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Error propagation discussion: We used Monte Carlo simulation to analyze the propagation of input measurement errors (5% coefficient of variation for hydrochemical parameters, representing typical instrumental uncertainty) to the final prediction results. We quantified the output uncertainty (standard deviation of ensemble predictions and 95% CI width) for both models under different virtual sample generation gradients, and discussed the seasonal differences in error propagation characteristics. </w:t>
      </w:r>
    </w:p>
    <w:p w14:paraId="29235D4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370F29F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44DE41D2">
      <w:pPr>
        <w:spacing w:line="300" w:lineRule="auto"/>
        <w:outlineLvl w:val="1"/>
        <w:rPr>
          <w:rFonts w:ascii="Times New Roman Regular" w:hAnsi="Times New Roman Regular" w:cs="Times New Roman Regular"/>
          <w:color w:val="0000FF"/>
        </w:rPr>
      </w:pPr>
      <w:r>
        <w:rPr>
          <w:rFonts w:ascii="Times New Roman Regular" w:hAnsi="Times New Roman Regular" w:cs="Times New Roman Regular"/>
          <w:color w:val="0000FF"/>
        </w:rPr>
        <w:t>3.</w:t>
      </w:r>
      <w:r>
        <w:rPr>
          <w:rFonts w:hint="eastAsia" w:ascii="Times New Roman Regular" w:hAnsi="Times New Roman Regular" w:cs="Times New Roman Regular"/>
          <w:color w:val="0000FF"/>
        </w:rPr>
        <w:t>4</w:t>
      </w:r>
      <w:r>
        <w:rPr>
          <w:rFonts w:ascii="Times New Roman Regular" w:hAnsi="Times New Roman Regular" w:cs="Times New Roman Regular"/>
          <w:color w:val="0000FF"/>
        </w:rPr>
        <w:t xml:space="preserve"> Model performance evaluation</w:t>
      </w:r>
    </w:p>
    <w:p w14:paraId="1D8FFF51">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3.4.1 Virtual data analysis</w:t>
      </w:r>
    </w:p>
    <w:p w14:paraId="38427ABA">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address the modeling bias arising from limited measured samples, this study constructed virtual datasets at 1-10 times the original scale based on a strategy combining t-SNE dimensionality reduction, GMM clustering sampling, and KNN inverse mapping, to enhance the robustness of model training. Taking the 10x virtual dataset as an example, the statistical characteristics (</w:t>
      </w:r>
      <w:r>
        <w:rPr>
          <w:rFonts w:hint="eastAsia" w:ascii="Times New Roman Regular" w:hAnsi="Times New Roman Regular" w:cs="Times New Roman Regular"/>
          <w:color w:val="0000FF"/>
        </w:rPr>
        <w:t>Table</w:t>
      </w:r>
      <w:r>
        <w:rPr>
          <w:rFonts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4</w:t>
      </w:r>
      <w:r>
        <w:rPr>
          <w:rFonts w:hint="eastAsia" w:ascii="Times New Roman Regular" w:hAnsi="Times New Roman Regular" w:cs="Times New Roman Regular"/>
          <w:color w:val="0000FF"/>
        </w:rPr>
        <w:t>) show that the virtual samples effectively reproduced the central tendency and dispersion of the original data. For the normal season, the mean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concentration was 30.41 mg L</w:t>
      </w:r>
      <w:r>
        <w:rPr>
          <w:rFonts w:hint="eastAsia"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(vs.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mean of 33.67), with a standard deviation of 28.78 (vs. 35.83) and a coefficient of variation (CV) of 0.95 (vs. 1.06). In the dry season, the maximum value of the virtual samples reached 178.09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while this did not fully replicate the extreme high values (</w:t>
      </w:r>
      <w:r>
        <w:rPr>
          <w:rFonts w:ascii="Times New Roman Regular" w:hAnsi="Times New Roman Regular" w:cs="Times New Roman Regular"/>
          <w:color w:val="0000FF"/>
        </w:rPr>
        <w:t xml:space="preserve">observed </w:t>
      </w:r>
      <w:r>
        <w:rPr>
          <w:rFonts w:hint="eastAsia" w:ascii="Times New Roman Regular" w:hAnsi="Times New Roman Regular" w:cs="Times New Roman Regular"/>
          <w:color w:val="0000FF"/>
        </w:rPr>
        <w:t>maximum of 358.58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it effectively expanded the range of the heavy-tailed distribution. For the wet season, although the CV for all indicators was slightly lower than the measured values, their ranges (8.47</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80.37 vs. 4.15</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98.36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still showed a high degree of overlap, indicating that no systematic distortion was introduced. </w:t>
      </w:r>
    </w:p>
    <w:p w14:paraId="696B032A">
      <w:pPr>
        <w:spacing w:line="300" w:lineRule="auto"/>
        <w:rPr>
          <w:rFonts w:ascii="Times New Roman Regular" w:hAnsi="Times New Roman Regular" w:cs="Times New Roman Regular"/>
          <w:color w:val="0000FF"/>
        </w:rPr>
      </w:pPr>
      <w:r>
        <w:rPr>
          <w:rFonts w:ascii="Times New Roman Bold" w:hAnsi="Times New Roman Bold" w:cs="Times New Roman Bold"/>
          <w:b/>
          <w:bCs/>
          <w:color w:val="0000FF"/>
        </w:rPr>
        <w:t xml:space="preserve">Table </w:t>
      </w:r>
      <w:r>
        <w:rPr>
          <w:rFonts w:hint="default" w:ascii="Times New Roman Bold" w:hAnsi="Times New Roman Bold" w:cs="Times New Roman Bold"/>
          <w:b/>
          <w:bCs/>
          <w:color w:val="0000FF"/>
          <w:lang w:val="en-US"/>
        </w:rPr>
        <w:t>4</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Statistical characteristics of different virtual</w:t>
      </w:r>
      <w:r>
        <w:rPr>
          <w:rFonts w:ascii="Times New Roman Regular" w:hAnsi="Times New Roman Regular" w:cs="Times New Roman Regular"/>
          <w:color w:val="0000FF"/>
        </w:rPr>
        <w:t xml:space="preserve"> samples</w:t>
      </w:r>
      <w:r>
        <w:rPr>
          <w:rFonts w:hint="eastAsia" w:ascii="Times New Roman Regular" w:hAnsi="Times New Roman Regular" w:cs="Times New Roman Regular"/>
          <w:color w:val="0000FF"/>
        </w:rPr>
        <w:t>.</w:t>
      </w:r>
    </w:p>
    <w:tbl>
      <w:tblPr>
        <w:tblStyle w:val="5"/>
        <w:tblW w:w="8790" w:type="dxa"/>
        <w:jc w:val="center"/>
        <w:tblLayout w:type="fixed"/>
        <w:tblCellMar>
          <w:top w:w="0" w:type="dxa"/>
          <w:left w:w="108" w:type="dxa"/>
          <w:bottom w:w="0" w:type="dxa"/>
          <w:right w:w="108" w:type="dxa"/>
        </w:tblCellMar>
      </w:tblPr>
      <w:tblGrid>
        <w:gridCol w:w="1436"/>
        <w:gridCol w:w="695"/>
        <w:gridCol w:w="801"/>
        <w:gridCol w:w="833"/>
        <w:gridCol w:w="982"/>
        <w:gridCol w:w="850"/>
        <w:gridCol w:w="863"/>
        <w:gridCol w:w="710"/>
        <w:gridCol w:w="810"/>
        <w:gridCol w:w="810"/>
      </w:tblGrid>
      <w:tr w14:paraId="55F803C8">
        <w:trPr>
          <w:trHeight w:val="340" w:hRule="atLeast"/>
          <w:jc w:val="center"/>
        </w:trPr>
        <w:tc>
          <w:tcPr>
            <w:tcW w:w="1436" w:type="dxa"/>
            <w:tcBorders>
              <w:top w:val="single" w:color="auto" w:sz="4" w:space="0"/>
              <w:left w:val="nil"/>
              <w:bottom w:val="nil"/>
              <w:right w:val="nil"/>
            </w:tcBorders>
            <w:noWrap/>
            <w:vAlign w:val="center"/>
          </w:tcPr>
          <w:p w14:paraId="49655B0B">
            <w:pPr>
              <w:widowControl/>
              <w:spacing w:line="300" w:lineRule="auto"/>
              <w:jc w:val="center"/>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Periods</w:t>
            </w:r>
          </w:p>
        </w:tc>
        <w:tc>
          <w:tcPr>
            <w:tcW w:w="695" w:type="dxa"/>
            <w:tcBorders>
              <w:top w:val="single" w:color="auto" w:sz="4" w:space="0"/>
              <w:left w:val="nil"/>
              <w:bottom w:val="nil"/>
              <w:right w:val="nil"/>
            </w:tcBorders>
            <w:noWrap/>
            <w:vAlign w:val="center"/>
          </w:tcPr>
          <w:p w14:paraId="50628757">
            <w:pPr>
              <w:spacing w:line="300" w:lineRule="auto"/>
              <w:jc w:val="center"/>
              <w:rPr>
                <w:rFonts w:ascii="Times New Roman" w:hAnsi="Times New Roman" w:eastAsia="宋体" w:cs="Times New Roman"/>
                <w:color w:val="0000FF"/>
                <w:sz w:val="18"/>
                <w:szCs w:val="18"/>
              </w:rPr>
            </w:pPr>
          </w:p>
        </w:tc>
        <w:tc>
          <w:tcPr>
            <w:tcW w:w="801" w:type="dxa"/>
            <w:tcBorders>
              <w:top w:val="single" w:color="auto" w:sz="4" w:space="0"/>
              <w:left w:val="nil"/>
              <w:bottom w:val="nil"/>
              <w:right w:val="nil"/>
            </w:tcBorders>
            <w:noWrap/>
            <w:vAlign w:val="center"/>
          </w:tcPr>
          <w:p w14:paraId="6EEF0658">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pH</w:t>
            </w:r>
          </w:p>
        </w:tc>
        <w:tc>
          <w:tcPr>
            <w:tcW w:w="833" w:type="dxa"/>
            <w:tcBorders>
              <w:top w:val="single" w:color="auto" w:sz="4" w:space="0"/>
              <w:left w:val="nil"/>
              <w:bottom w:val="nil"/>
              <w:right w:val="nil"/>
            </w:tcBorders>
            <w:noWrap/>
            <w:vAlign w:val="center"/>
          </w:tcPr>
          <w:p w14:paraId="62D353D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w:t>
            </w:r>
          </w:p>
        </w:tc>
        <w:tc>
          <w:tcPr>
            <w:tcW w:w="982" w:type="dxa"/>
            <w:tcBorders>
              <w:top w:val="single" w:color="auto" w:sz="4" w:space="0"/>
              <w:left w:val="nil"/>
              <w:bottom w:val="nil"/>
              <w:right w:val="nil"/>
            </w:tcBorders>
            <w:noWrap/>
            <w:vAlign w:val="center"/>
          </w:tcPr>
          <w:p w14:paraId="6043E194">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EC</w:t>
            </w:r>
          </w:p>
        </w:tc>
        <w:tc>
          <w:tcPr>
            <w:tcW w:w="850" w:type="dxa"/>
            <w:tcBorders>
              <w:top w:val="single" w:color="auto" w:sz="4" w:space="0"/>
              <w:left w:val="nil"/>
              <w:bottom w:val="nil"/>
              <w:right w:val="nil"/>
            </w:tcBorders>
            <w:noWrap/>
            <w:vAlign w:val="center"/>
          </w:tcPr>
          <w:p w14:paraId="2731C462">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DO</w:t>
            </w:r>
          </w:p>
        </w:tc>
        <w:tc>
          <w:tcPr>
            <w:tcW w:w="863" w:type="dxa"/>
            <w:tcBorders>
              <w:top w:val="single" w:color="auto" w:sz="4" w:space="0"/>
              <w:left w:val="nil"/>
              <w:bottom w:val="nil"/>
              <w:right w:val="nil"/>
            </w:tcBorders>
            <w:noWrap/>
            <w:vAlign w:val="center"/>
          </w:tcPr>
          <w:p w14:paraId="3B47A05E">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ORP</w:t>
            </w:r>
          </w:p>
        </w:tc>
        <w:tc>
          <w:tcPr>
            <w:tcW w:w="710" w:type="dxa"/>
            <w:tcBorders>
              <w:top w:val="single" w:color="auto" w:sz="4" w:space="0"/>
              <w:left w:val="nil"/>
              <w:bottom w:val="nil"/>
              <w:right w:val="nil"/>
            </w:tcBorders>
            <w:noWrap/>
            <w:vAlign w:val="center"/>
          </w:tcPr>
          <w:p w14:paraId="45E01BE7">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Salt</w:t>
            </w:r>
          </w:p>
        </w:tc>
        <w:tc>
          <w:tcPr>
            <w:tcW w:w="810" w:type="dxa"/>
            <w:tcBorders>
              <w:top w:val="single" w:color="auto" w:sz="4" w:space="0"/>
              <w:left w:val="nil"/>
              <w:bottom w:val="nil"/>
              <w:right w:val="nil"/>
            </w:tcBorders>
            <w:noWrap/>
            <w:vAlign w:val="center"/>
          </w:tcPr>
          <w:p w14:paraId="419B3A05">
            <w:pPr>
              <w:widowControl/>
              <w:spacing w:line="300" w:lineRule="auto"/>
              <w:jc w:val="right"/>
              <w:textAlignment w:val="center"/>
              <w:rPr>
                <w:rFonts w:ascii="Times New Roman" w:hAnsi="Times New Roman" w:eastAsia="宋体" w:cs="Times New Roman"/>
                <w:color w:val="0000FF"/>
                <w:sz w:val="18"/>
                <w:szCs w:val="18"/>
              </w:rPr>
            </w:pPr>
            <w:r>
              <w:rPr>
                <w:rFonts w:ascii="Times New Roman" w:hAnsi="Times New Roman" w:eastAsia="宋体" w:cs="Times New Roman"/>
                <w:color w:val="0000FF"/>
                <w:kern w:val="0"/>
                <w:sz w:val="18"/>
                <w:szCs w:val="18"/>
                <w:lang w:bidi="ar"/>
              </w:rPr>
              <w:t>TDS</w:t>
            </w:r>
          </w:p>
        </w:tc>
        <w:tc>
          <w:tcPr>
            <w:tcW w:w="810" w:type="dxa"/>
            <w:tcBorders>
              <w:top w:val="single" w:color="auto" w:sz="4" w:space="0"/>
              <w:left w:val="nil"/>
              <w:bottom w:val="nil"/>
              <w:right w:val="nil"/>
            </w:tcBorders>
            <w:noWrap/>
            <w:vAlign w:val="center"/>
          </w:tcPr>
          <w:p w14:paraId="7B0DA82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w:t>
            </w:r>
            <w:r>
              <w:rPr>
                <w:rFonts w:ascii="Times New Roman Regular" w:hAnsi="Times New Roman Regular" w:eastAsia="宋体" w:cs="Times New Roman Regular"/>
                <w:color w:val="0000FF"/>
                <w:kern w:val="0"/>
                <w:sz w:val="18"/>
                <w:szCs w:val="18"/>
                <w:vertAlign w:val="subscript"/>
                <w:lang w:bidi="ar"/>
              </w:rPr>
              <w:t>3</w:t>
            </w:r>
            <w:r>
              <w:rPr>
                <w:rFonts w:ascii="Times New Roman Regular" w:hAnsi="Times New Roman Regular" w:eastAsia="宋体" w:cs="Times New Roman Regular"/>
                <w:color w:val="0000FF"/>
                <w:kern w:val="0"/>
                <w:sz w:val="18"/>
                <w:szCs w:val="18"/>
                <w:vertAlign w:val="superscript"/>
                <w:lang w:bidi="ar"/>
              </w:rPr>
              <w:t>-</w:t>
            </w:r>
          </w:p>
        </w:tc>
      </w:tr>
      <w:tr w14:paraId="664E910C">
        <w:trPr>
          <w:trHeight w:val="340" w:hRule="atLeast"/>
          <w:jc w:val="center"/>
        </w:trPr>
        <w:tc>
          <w:tcPr>
            <w:tcW w:w="1436" w:type="dxa"/>
            <w:tcBorders>
              <w:top w:val="nil"/>
              <w:left w:val="nil"/>
              <w:bottom w:val="single" w:color="auto" w:sz="4" w:space="0"/>
              <w:right w:val="nil"/>
            </w:tcBorders>
            <w:noWrap/>
            <w:vAlign w:val="center"/>
          </w:tcPr>
          <w:p w14:paraId="26B5EAF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C04FC39">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Unit</w:t>
            </w:r>
          </w:p>
        </w:tc>
        <w:tc>
          <w:tcPr>
            <w:tcW w:w="801" w:type="dxa"/>
            <w:tcBorders>
              <w:top w:val="nil"/>
              <w:left w:val="nil"/>
              <w:bottom w:val="single" w:color="auto" w:sz="4" w:space="0"/>
              <w:right w:val="nil"/>
            </w:tcBorders>
            <w:noWrap/>
            <w:vAlign w:val="center"/>
          </w:tcPr>
          <w:p w14:paraId="564CEA67">
            <w:pPr>
              <w:spacing w:line="300" w:lineRule="auto"/>
              <w:rPr>
                <w:rFonts w:ascii="Times New Roman Regular" w:hAnsi="Times New Roman Regular" w:eastAsia="宋体" w:cs="Times New Roman Regular"/>
                <w:color w:val="0000FF"/>
                <w:sz w:val="18"/>
                <w:szCs w:val="18"/>
              </w:rPr>
            </w:pPr>
          </w:p>
        </w:tc>
        <w:tc>
          <w:tcPr>
            <w:tcW w:w="833" w:type="dxa"/>
            <w:tcBorders>
              <w:top w:val="nil"/>
              <w:left w:val="nil"/>
              <w:bottom w:val="single" w:color="auto" w:sz="4" w:space="0"/>
              <w:right w:val="nil"/>
            </w:tcBorders>
            <w:noWrap/>
            <w:vAlign w:val="center"/>
          </w:tcPr>
          <w:p w14:paraId="5FC9472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t>
            </w:r>
          </w:p>
        </w:tc>
        <w:tc>
          <w:tcPr>
            <w:tcW w:w="982" w:type="dxa"/>
            <w:tcBorders>
              <w:top w:val="nil"/>
              <w:left w:val="nil"/>
              <w:bottom w:val="single" w:color="auto" w:sz="4" w:space="0"/>
              <w:right w:val="nil"/>
            </w:tcBorders>
            <w:noWrap/>
            <w:vAlign w:val="center"/>
          </w:tcPr>
          <w:p w14:paraId="47BADBC3">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μs cm</w:t>
            </w:r>
            <w:r>
              <w:rPr>
                <w:rFonts w:ascii="Times New Roman Regular" w:hAnsi="Times New Roman Regular" w:eastAsia="宋体" w:cs="Times New Roman Regular"/>
                <w:color w:val="0000FF"/>
                <w:kern w:val="0"/>
                <w:sz w:val="18"/>
                <w:szCs w:val="18"/>
                <w:vertAlign w:val="superscript"/>
                <w:lang w:bidi="ar"/>
              </w:rPr>
              <w:t>-1</w:t>
            </w:r>
          </w:p>
        </w:tc>
        <w:tc>
          <w:tcPr>
            <w:tcW w:w="850" w:type="dxa"/>
            <w:tcBorders>
              <w:top w:val="nil"/>
              <w:left w:val="nil"/>
              <w:bottom w:val="single" w:color="auto" w:sz="4" w:space="0"/>
              <w:right w:val="nil"/>
            </w:tcBorders>
            <w:noWrap/>
            <w:vAlign w:val="center"/>
          </w:tcPr>
          <w:p w14:paraId="668D9DB5">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63" w:type="dxa"/>
            <w:tcBorders>
              <w:top w:val="nil"/>
              <w:left w:val="nil"/>
              <w:bottom w:val="single" w:color="auto" w:sz="4" w:space="0"/>
              <w:right w:val="nil"/>
            </w:tcBorders>
            <w:noWrap/>
            <w:vAlign w:val="center"/>
          </w:tcPr>
          <w:p w14:paraId="61E808BC">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mv</w:t>
            </w:r>
          </w:p>
        </w:tc>
        <w:tc>
          <w:tcPr>
            <w:tcW w:w="710" w:type="dxa"/>
            <w:tcBorders>
              <w:top w:val="nil"/>
              <w:left w:val="nil"/>
              <w:bottom w:val="single" w:color="auto" w:sz="4" w:space="0"/>
              <w:right w:val="nil"/>
            </w:tcBorders>
            <w:noWrap/>
            <w:vAlign w:val="center"/>
          </w:tcPr>
          <w:p w14:paraId="1DA4084A">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ppt</w:t>
            </w:r>
          </w:p>
        </w:tc>
        <w:tc>
          <w:tcPr>
            <w:tcW w:w="810" w:type="dxa"/>
            <w:tcBorders>
              <w:top w:val="nil"/>
              <w:left w:val="nil"/>
              <w:bottom w:val="single" w:color="auto" w:sz="4" w:space="0"/>
              <w:right w:val="nil"/>
            </w:tcBorders>
            <w:noWrap/>
            <w:vAlign w:val="center"/>
          </w:tcPr>
          <w:p w14:paraId="38DEB941">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c>
          <w:tcPr>
            <w:tcW w:w="810" w:type="dxa"/>
            <w:tcBorders>
              <w:top w:val="nil"/>
              <w:left w:val="nil"/>
              <w:bottom w:val="single" w:color="auto" w:sz="4" w:space="0"/>
              <w:right w:val="nil"/>
            </w:tcBorders>
            <w:noWrap/>
            <w:vAlign w:val="center"/>
          </w:tcPr>
          <w:p w14:paraId="5375B932">
            <w:pPr>
              <w:widowControl/>
              <w:spacing w:line="300" w:lineRule="auto"/>
              <w:jc w:val="righ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mg L</w:t>
            </w:r>
            <w:r>
              <w:rPr>
                <w:rFonts w:ascii="Times New Roman Regular" w:hAnsi="Times New Roman Regular" w:eastAsia="宋体" w:cs="Times New Roman Regular"/>
                <w:color w:val="0000FF"/>
                <w:kern w:val="0"/>
                <w:sz w:val="18"/>
                <w:szCs w:val="18"/>
                <w:vertAlign w:val="superscript"/>
                <w:lang w:bidi="ar"/>
              </w:rPr>
              <w:t>-1</w:t>
            </w:r>
          </w:p>
        </w:tc>
      </w:tr>
      <w:tr w14:paraId="0A1A9415">
        <w:trPr>
          <w:trHeight w:val="336" w:hRule="atLeast"/>
          <w:jc w:val="center"/>
        </w:trPr>
        <w:tc>
          <w:tcPr>
            <w:tcW w:w="1436" w:type="dxa"/>
            <w:tcBorders>
              <w:top w:val="single" w:color="auto" w:sz="4" w:space="0"/>
              <w:left w:val="nil"/>
              <w:bottom w:val="nil"/>
              <w:right w:val="nil"/>
            </w:tcBorders>
            <w:noWrap/>
            <w:vAlign w:val="center"/>
          </w:tcPr>
          <w:p w14:paraId="6F1F6A0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Normal season</w:t>
            </w:r>
          </w:p>
        </w:tc>
        <w:tc>
          <w:tcPr>
            <w:tcW w:w="695" w:type="dxa"/>
            <w:tcBorders>
              <w:top w:val="single" w:color="auto" w:sz="4" w:space="0"/>
              <w:left w:val="nil"/>
              <w:bottom w:val="nil"/>
              <w:right w:val="nil"/>
            </w:tcBorders>
            <w:noWrap/>
            <w:vAlign w:val="center"/>
          </w:tcPr>
          <w:p w14:paraId="233455C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single" w:color="auto" w:sz="4" w:space="0"/>
              <w:left w:val="nil"/>
              <w:bottom w:val="nil"/>
              <w:right w:val="nil"/>
            </w:tcBorders>
            <w:noWrap/>
            <w:vAlign w:val="center"/>
          </w:tcPr>
          <w:p w14:paraId="29CAAFA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8.32</w:t>
            </w:r>
          </w:p>
        </w:tc>
        <w:tc>
          <w:tcPr>
            <w:tcW w:w="833" w:type="dxa"/>
            <w:tcBorders>
              <w:top w:val="single" w:color="auto" w:sz="4" w:space="0"/>
              <w:left w:val="nil"/>
              <w:bottom w:val="nil"/>
              <w:right w:val="nil"/>
            </w:tcBorders>
            <w:noWrap/>
            <w:vAlign w:val="center"/>
          </w:tcPr>
          <w:p w14:paraId="5FC1214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16.2</w:t>
            </w:r>
          </w:p>
        </w:tc>
        <w:tc>
          <w:tcPr>
            <w:tcW w:w="982" w:type="dxa"/>
            <w:tcBorders>
              <w:top w:val="single" w:color="auto" w:sz="4" w:space="0"/>
              <w:left w:val="nil"/>
              <w:bottom w:val="nil"/>
              <w:right w:val="nil"/>
            </w:tcBorders>
            <w:noWrap/>
            <w:vAlign w:val="center"/>
          </w:tcPr>
          <w:p w14:paraId="0F27C1C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963.6</w:t>
            </w:r>
          </w:p>
        </w:tc>
        <w:tc>
          <w:tcPr>
            <w:tcW w:w="850" w:type="dxa"/>
            <w:tcBorders>
              <w:top w:val="single" w:color="auto" w:sz="4" w:space="0"/>
              <w:left w:val="nil"/>
              <w:bottom w:val="nil"/>
              <w:right w:val="nil"/>
            </w:tcBorders>
            <w:noWrap/>
            <w:vAlign w:val="center"/>
          </w:tcPr>
          <w:p w14:paraId="034175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9.31</w:t>
            </w:r>
          </w:p>
        </w:tc>
        <w:tc>
          <w:tcPr>
            <w:tcW w:w="863" w:type="dxa"/>
            <w:tcBorders>
              <w:top w:val="single" w:color="auto" w:sz="4" w:space="0"/>
              <w:left w:val="nil"/>
              <w:bottom w:val="nil"/>
              <w:right w:val="nil"/>
            </w:tcBorders>
            <w:noWrap/>
            <w:vAlign w:val="center"/>
          </w:tcPr>
          <w:p w14:paraId="01545EB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101.02</w:t>
            </w:r>
          </w:p>
        </w:tc>
        <w:tc>
          <w:tcPr>
            <w:tcW w:w="710" w:type="dxa"/>
            <w:tcBorders>
              <w:top w:val="single" w:color="auto" w:sz="4" w:space="0"/>
              <w:left w:val="nil"/>
              <w:bottom w:val="nil"/>
              <w:right w:val="nil"/>
            </w:tcBorders>
            <w:noWrap/>
            <w:vAlign w:val="center"/>
          </w:tcPr>
          <w:p w14:paraId="1CC206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0.42</w:t>
            </w:r>
          </w:p>
        </w:tc>
        <w:tc>
          <w:tcPr>
            <w:tcW w:w="810" w:type="dxa"/>
            <w:tcBorders>
              <w:top w:val="single" w:color="auto" w:sz="4" w:space="0"/>
              <w:left w:val="nil"/>
              <w:bottom w:val="nil"/>
              <w:right w:val="nil"/>
            </w:tcBorders>
            <w:noWrap/>
            <w:vAlign w:val="center"/>
          </w:tcPr>
          <w:p w14:paraId="5A6EBE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628.6</w:t>
            </w:r>
          </w:p>
        </w:tc>
        <w:tc>
          <w:tcPr>
            <w:tcW w:w="810" w:type="dxa"/>
            <w:tcBorders>
              <w:top w:val="single" w:color="auto" w:sz="4" w:space="0"/>
              <w:left w:val="nil"/>
              <w:bottom w:val="nil"/>
              <w:right w:val="nil"/>
            </w:tcBorders>
            <w:noWrap/>
            <w:vAlign w:val="center"/>
          </w:tcPr>
          <w:p w14:paraId="65A1C54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124.03</w:t>
            </w:r>
          </w:p>
        </w:tc>
      </w:tr>
      <w:tr w14:paraId="0D85B0B2">
        <w:trPr>
          <w:trHeight w:val="336" w:hRule="atLeast"/>
          <w:jc w:val="center"/>
        </w:trPr>
        <w:tc>
          <w:tcPr>
            <w:tcW w:w="1436" w:type="dxa"/>
            <w:tcBorders>
              <w:top w:val="nil"/>
              <w:left w:val="nil"/>
              <w:bottom w:val="nil"/>
              <w:right w:val="nil"/>
            </w:tcBorders>
            <w:noWrap/>
            <w:vAlign w:val="center"/>
          </w:tcPr>
          <w:p w14:paraId="38AFA83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n=66</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45D453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D8E0DE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7.95</w:t>
            </w:r>
          </w:p>
        </w:tc>
        <w:tc>
          <w:tcPr>
            <w:tcW w:w="833" w:type="dxa"/>
            <w:tcBorders>
              <w:top w:val="nil"/>
              <w:left w:val="nil"/>
              <w:bottom w:val="nil"/>
              <w:right w:val="nil"/>
            </w:tcBorders>
            <w:noWrap/>
            <w:vAlign w:val="center"/>
          </w:tcPr>
          <w:p w14:paraId="4DB7C32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13.88</w:t>
            </w:r>
          </w:p>
        </w:tc>
        <w:tc>
          <w:tcPr>
            <w:tcW w:w="982" w:type="dxa"/>
            <w:tcBorders>
              <w:top w:val="nil"/>
              <w:left w:val="nil"/>
              <w:bottom w:val="nil"/>
              <w:right w:val="nil"/>
            </w:tcBorders>
            <w:noWrap/>
            <w:vAlign w:val="center"/>
          </w:tcPr>
          <w:p w14:paraId="1DC5F15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378.2</w:t>
            </w:r>
          </w:p>
        </w:tc>
        <w:tc>
          <w:tcPr>
            <w:tcW w:w="850" w:type="dxa"/>
            <w:tcBorders>
              <w:top w:val="nil"/>
              <w:left w:val="nil"/>
              <w:bottom w:val="nil"/>
              <w:right w:val="nil"/>
            </w:tcBorders>
            <w:noWrap/>
            <w:vAlign w:val="center"/>
          </w:tcPr>
          <w:p w14:paraId="4DC8E9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3.52</w:t>
            </w:r>
          </w:p>
        </w:tc>
        <w:tc>
          <w:tcPr>
            <w:tcW w:w="863" w:type="dxa"/>
            <w:tcBorders>
              <w:top w:val="nil"/>
              <w:left w:val="nil"/>
              <w:bottom w:val="nil"/>
              <w:right w:val="nil"/>
            </w:tcBorders>
            <w:noWrap/>
            <w:vAlign w:val="center"/>
          </w:tcPr>
          <w:p w14:paraId="2FA566B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-48.28</w:t>
            </w:r>
          </w:p>
        </w:tc>
        <w:tc>
          <w:tcPr>
            <w:tcW w:w="710" w:type="dxa"/>
            <w:tcBorders>
              <w:top w:val="nil"/>
              <w:left w:val="nil"/>
              <w:bottom w:val="nil"/>
              <w:right w:val="nil"/>
            </w:tcBorders>
            <w:noWrap/>
            <w:vAlign w:val="center"/>
          </w:tcPr>
          <w:p w14:paraId="77635E3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0.12</w:t>
            </w:r>
          </w:p>
        </w:tc>
        <w:tc>
          <w:tcPr>
            <w:tcW w:w="810" w:type="dxa"/>
            <w:tcBorders>
              <w:top w:val="nil"/>
              <w:left w:val="nil"/>
              <w:bottom w:val="nil"/>
              <w:right w:val="nil"/>
            </w:tcBorders>
            <w:noWrap/>
            <w:vAlign w:val="center"/>
          </w:tcPr>
          <w:p w14:paraId="3A23347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245</w:t>
            </w:r>
          </w:p>
        </w:tc>
        <w:tc>
          <w:tcPr>
            <w:tcW w:w="810" w:type="dxa"/>
            <w:tcBorders>
              <w:top w:val="nil"/>
              <w:left w:val="nil"/>
              <w:bottom w:val="nil"/>
              <w:right w:val="nil"/>
            </w:tcBorders>
            <w:noWrap/>
            <w:vAlign w:val="center"/>
          </w:tcPr>
          <w:p w14:paraId="73A149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5.10</w:t>
            </w:r>
          </w:p>
        </w:tc>
      </w:tr>
      <w:tr w14:paraId="24000CBD">
        <w:trPr>
          <w:trHeight w:val="336" w:hRule="atLeast"/>
          <w:jc w:val="center"/>
        </w:trPr>
        <w:tc>
          <w:tcPr>
            <w:tcW w:w="1436" w:type="dxa"/>
            <w:tcBorders>
              <w:top w:val="nil"/>
              <w:left w:val="nil"/>
              <w:bottom w:val="nil"/>
              <w:right w:val="nil"/>
            </w:tcBorders>
            <w:noWrap/>
            <w:vAlign w:val="center"/>
          </w:tcPr>
          <w:p w14:paraId="5CD8463F">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00BD7D2">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116373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8.18</w:t>
            </w:r>
          </w:p>
        </w:tc>
        <w:tc>
          <w:tcPr>
            <w:tcW w:w="833" w:type="dxa"/>
            <w:tcBorders>
              <w:top w:val="nil"/>
              <w:left w:val="nil"/>
              <w:bottom w:val="nil"/>
              <w:right w:val="nil"/>
            </w:tcBorders>
            <w:noWrap/>
            <w:vAlign w:val="center"/>
          </w:tcPr>
          <w:p w14:paraId="2F55919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14.72</w:t>
            </w:r>
          </w:p>
        </w:tc>
        <w:tc>
          <w:tcPr>
            <w:tcW w:w="982" w:type="dxa"/>
            <w:tcBorders>
              <w:top w:val="nil"/>
              <w:left w:val="nil"/>
              <w:bottom w:val="nil"/>
              <w:right w:val="nil"/>
            </w:tcBorders>
            <w:noWrap/>
            <w:vAlign w:val="center"/>
          </w:tcPr>
          <w:p w14:paraId="00C00B4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527.31</w:t>
            </w:r>
          </w:p>
        </w:tc>
        <w:tc>
          <w:tcPr>
            <w:tcW w:w="850" w:type="dxa"/>
            <w:tcBorders>
              <w:top w:val="nil"/>
              <w:left w:val="nil"/>
              <w:bottom w:val="nil"/>
              <w:right w:val="nil"/>
            </w:tcBorders>
            <w:noWrap/>
            <w:vAlign w:val="center"/>
          </w:tcPr>
          <w:p w14:paraId="627C809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6.66</w:t>
            </w:r>
          </w:p>
        </w:tc>
        <w:tc>
          <w:tcPr>
            <w:tcW w:w="863" w:type="dxa"/>
            <w:tcBorders>
              <w:top w:val="nil"/>
              <w:left w:val="nil"/>
              <w:bottom w:val="nil"/>
              <w:right w:val="nil"/>
            </w:tcBorders>
            <w:noWrap/>
            <w:vAlign w:val="center"/>
          </w:tcPr>
          <w:p w14:paraId="5D5D57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2.09</w:t>
            </w:r>
          </w:p>
        </w:tc>
        <w:tc>
          <w:tcPr>
            <w:tcW w:w="710" w:type="dxa"/>
            <w:tcBorders>
              <w:top w:val="nil"/>
              <w:left w:val="nil"/>
              <w:bottom w:val="nil"/>
              <w:right w:val="nil"/>
            </w:tcBorders>
            <w:noWrap/>
            <w:vAlign w:val="center"/>
          </w:tcPr>
          <w:p w14:paraId="60F5955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486F1CD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342.72</w:t>
            </w:r>
          </w:p>
        </w:tc>
        <w:tc>
          <w:tcPr>
            <w:tcW w:w="810" w:type="dxa"/>
            <w:tcBorders>
              <w:top w:val="nil"/>
              <w:left w:val="nil"/>
              <w:bottom w:val="nil"/>
              <w:right w:val="nil"/>
            </w:tcBorders>
            <w:noWrap/>
            <w:vAlign w:val="center"/>
          </w:tcPr>
          <w:p w14:paraId="69B370E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30.41</w:t>
            </w:r>
          </w:p>
        </w:tc>
      </w:tr>
      <w:tr w14:paraId="36AD9D77">
        <w:trPr>
          <w:trHeight w:val="336" w:hRule="atLeast"/>
          <w:jc w:val="center"/>
        </w:trPr>
        <w:tc>
          <w:tcPr>
            <w:tcW w:w="1436" w:type="dxa"/>
            <w:tcBorders>
              <w:top w:val="nil"/>
              <w:left w:val="nil"/>
              <w:bottom w:val="nil"/>
              <w:right w:val="nil"/>
            </w:tcBorders>
            <w:noWrap/>
            <w:vAlign w:val="center"/>
          </w:tcPr>
          <w:p w14:paraId="30F583E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5D3100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D1BFE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0.07</w:t>
            </w:r>
          </w:p>
        </w:tc>
        <w:tc>
          <w:tcPr>
            <w:tcW w:w="833" w:type="dxa"/>
            <w:tcBorders>
              <w:top w:val="nil"/>
              <w:left w:val="nil"/>
              <w:bottom w:val="nil"/>
              <w:right w:val="nil"/>
            </w:tcBorders>
            <w:noWrap/>
            <w:vAlign w:val="center"/>
          </w:tcPr>
          <w:p w14:paraId="55EDC9B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0.54</w:t>
            </w:r>
          </w:p>
        </w:tc>
        <w:tc>
          <w:tcPr>
            <w:tcW w:w="982" w:type="dxa"/>
            <w:tcBorders>
              <w:top w:val="nil"/>
              <w:left w:val="nil"/>
              <w:bottom w:val="nil"/>
              <w:right w:val="nil"/>
            </w:tcBorders>
            <w:noWrap/>
            <w:vAlign w:val="center"/>
          </w:tcPr>
          <w:p w14:paraId="1E60ED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148.31</w:t>
            </w:r>
          </w:p>
        </w:tc>
        <w:tc>
          <w:tcPr>
            <w:tcW w:w="850" w:type="dxa"/>
            <w:tcBorders>
              <w:top w:val="nil"/>
              <w:left w:val="nil"/>
              <w:bottom w:val="nil"/>
              <w:right w:val="nil"/>
            </w:tcBorders>
            <w:noWrap/>
            <w:vAlign w:val="center"/>
          </w:tcPr>
          <w:p w14:paraId="078B623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1.66</w:t>
            </w:r>
          </w:p>
        </w:tc>
        <w:tc>
          <w:tcPr>
            <w:tcW w:w="863" w:type="dxa"/>
            <w:tcBorders>
              <w:top w:val="nil"/>
              <w:left w:val="nil"/>
              <w:bottom w:val="nil"/>
              <w:right w:val="nil"/>
            </w:tcBorders>
            <w:noWrap/>
            <w:vAlign w:val="center"/>
          </w:tcPr>
          <w:p w14:paraId="094393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25.97</w:t>
            </w:r>
          </w:p>
        </w:tc>
        <w:tc>
          <w:tcPr>
            <w:tcW w:w="710" w:type="dxa"/>
            <w:tcBorders>
              <w:top w:val="nil"/>
              <w:left w:val="nil"/>
              <w:bottom w:val="nil"/>
              <w:right w:val="nil"/>
            </w:tcBorders>
            <w:noWrap/>
            <w:vAlign w:val="center"/>
          </w:tcPr>
          <w:p w14:paraId="0077AB9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09FEDB4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96.92</w:t>
            </w:r>
          </w:p>
        </w:tc>
        <w:tc>
          <w:tcPr>
            <w:tcW w:w="810" w:type="dxa"/>
            <w:tcBorders>
              <w:top w:val="nil"/>
              <w:left w:val="nil"/>
              <w:bottom w:val="nil"/>
              <w:right w:val="nil"/>
            </w:tcBorders>
            <w:noWrap/>
            <w:vAlign w:val="center"/>
          </w:tcPr>
          <w:p w14:paraId="112E42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28.78</w:t>
            </w:r>
          </w:p>
        </w:tc>
      </w:tr>
      <w:tr w14:paraId="5503B8F4">
        <w:trPr>
          <w:trHeight w:val="336" w:hRule="atLeast"/>
          <w:jc w:val="center"/>
        </w:trPr>
        <w:tc>
          <w:tcPr>
            <w:tcW w:w="1436" w:type="dxa"/>
            <w:tcBorders>
              <w:top w:val="nil"/>
              <w:left w:val="nil"/>
              <w:bottom w:val="nil"/>
              <w:right w:val="nil"/>
            </w:tcBorders>
            <w:noWrap/>
            <w:vAlign w:val="center"/>
          </w:tcPr>
          <w:p w14:paraId="3D7EA9A5">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3F3F0525">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6FB52CF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0.01</w:t>
            </w:r>
          </w:p>
        </w:tc>
        <w:tc>
          <w:tcPr>
            <w:tcW w:w="833" w:type="dxa"/>
            <w:tcBorders>
              <w:top w:val="nil"/>
              <w:left w:val="nil"/>
              <w:bottom w:val="nil"/>
              <w:right w:val="nil"/>
            </w:tcBorders>
            <w:noWrap/>
            <w:vAlign w:val="center"/>
          </w:tcPr>
          <w:p w14:paraId="148BC9D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51CC091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50" w:type="dxa"/>
            <w:tcBorders>
              <w:top w:val="nil"/>
              <w:left w:val="nil"/>
              <w:bottom w:val="nil"/>
              <w:right w:val="nil"/>
            </w:tcBorders>
            <w:noWrap/>
            <w:vAlign w:val="center"/>
          </w:tcPr>
          <w:p w14:paraId="1B8671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63" w:type="dxa"/>
            <w:tcBorders>
              <w:top w:val="nil"/>
              <w:left w:val="nil"/>
              <w:bottom w:val="nil"/>
              <w:right w:val="nil"/>
            </w:tcBorders>
            <w:noWrap/>
            <w:vAlign w:val="center"/>
          </w:tcPr>
          <w:p w14:paraId="0FC1198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12.44</w:t>
            </w:r>
          </w:p>
        </w:tc>
        <w:tc>
          <w:tcPr>
            <w:tcW w:w="710" w:type="dxa"/>
            <w:tcBorders>
              <w:top w:val="nil"/>
              <w:left w:val="nil"/>
              <w:bottom w:val="nil"/>
              <w:right w:val="nil"/>
            </w:tcBorders>
            <w:noWrap/>
            <w:vAlign w:val="center"/>
          </w:tcPr>
          <w:p w14:paraId="7DFC4DA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0.41</w:t>
            </w:r>
          </w:p>
        </w:tc>
        <w:tc>
          <w:tcPr>
            <w:tcW w:w="810" w:type="dxa"/>
            <w:tcBorders>
              <w:top w:val="nil"/>
              <w:left w:val="nil"/>
              <w:bottom w:val="nil"/>
              <w:right w:val="nil"/>
            </w:tcBorders>
            <w:noWrap/>
            <w:vAlign w:val="center"/>
          </w:tcPr>
          <w:p w14:paraId="533C70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0.28</w:t>
            </w:r>
          </w:p>
        </w:tc>
        <w:tc>
          <w:tcPr>
            <w:tcW w:w="810" w:type="dxa"/>
            <w:tcBorders>
              <w:top w:val="nil"/>
              <w:left w:val="nil"/>
              <w:bottom w:val="nil"/>
              <w:right w:val="nil"/>
            </w:tcBorders>
            <w:noWrap/>
            <w:vAlign w:val="center"/>
          </w:tcPr>
          <w:p w14:paraId="50C29C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0.95</w:t>
            </w:r>
          </w:p>
        </w:tc>
      </w:tr>
      <w:tr w14:paraId="7439BD8E">
        <w:trPr>
          <w:trHeight w:val="336" w:hRule="atLeast"/>
          <w:jc w:val="center"/>
        </w:trPr>
        <w:tc>
          <w:tcPr>
            <w:tcW w:w="1436" w:type="dxa"/>
            <w:tcBorders>
              <w:top w:val="nil"/>
              <w:left w:val="nil"/>
              <w:bottom w:val="nil"/>
              <w:right w:val="nil"/>
            </w:tcBorders>
            <w:noWrap/>
            <w:vAlign w:val="center"/>
          </w:tcPr>
          <w:p w14:paraId="0ADB4E9F">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Dry season</w:t>
            </w:r>
          </w:p>
        </w:tc>
        <w:tc>
          <w:tcPr>
            <w:tcW w:w="695" w:type="dxa"/>
            <w:tcBorders>
              <w:top w:val="nil"/>
              <w:left w:val="nil"/>
              <w:bottom w:val="nil"/>
              <w:right w:val="nil"/>
            </w:tcBorders>
            <w:noWrap/>
            <w:vAlign w:val="center"/>
          </w:tcPr>
          <w:p w14:paraId="1A63E568">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056490B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8.19</w:t>
            </w:r>
          </w:p>
        </w:tc>
        <w:tc>
          <w:tcPr>
            <w:tcW w:w="833" w:type="dxa"/>
            <w:tcBorders>
              <w:top w:val="nil"/>
              <w:left w:val="nil"/>
              <w:bottom w:val="nil"/>
              <w:right w:val="nil"/>
            </w:tcBorders>
            <w:noWrap/>
            <w:vAlign w:val="center"/>
          </w:tcPr>
          <w:p w14:paraId="7E1160D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17.59</w:t>
            </w:r>
          </w:p>
        </w:tc>
        <w:tc>
          <w:tcPr>
            <w:tcW w:w="982" w:type="dxa"/>
            <w:tcBorders>
              <w:top w:val="nil"/>
              <w:left w:val="nil"/>
              <w:bottom w:val="nil"/>
              <w:right w:val="nil"/>
            </w:tcBorders>
            <w:noWrap/>
            <w:vAlign w:val="center"/>
          </w:tcPr>
          <w:p w14:paraId="7BBD5B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987.8</w:t>
            </w:r>
          </w:p>
        </w:tc>
        <w:tc>
          <w:tcPr>
            <w:tcW w:w="850" w:type="dxa"/>
            <w:tcBorders>
              <w:top w:val="nil"/>
              <w:left w:val="nil"/>
              <w:bottom w:val="nil"/>
              <w:right w:val="nil"/>
            </w:tcBorders>
            <w:noWrap/>
            <w:vAlign w:val="center"/>
          </w:tcPr>
          <w:p w14:paraId="2A7B2BC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8.10</w:t>
            </w:r>
          </w:p>
        </w:tc>
        <w:tc>
          <w:tcPr>
            <w:tcW w:w="863" w:type="dxa"/>
            <w:tcBorders>
              <w:top w:val="nil"/>
              <w:left w:val="nil"/>
              <w:bottom w:val="nil"/>
              <w:right w:val="nil"/>
            </w:tcBorders>
            <w:noWrap/>
            <w:vAlign w:val="center"/>
          </w:tcPr>
          <w:p w14:paraId="524BEF3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69.18</w:t>
            </w:r>
          </w:p>
        </w:tc>
        <w:tc>
          <w:tcPr>
            <w:tcW w:w="710" w:type="dxa"/>
            <w:tcBorders>
              <w:top w:val="nil"/>
              <w:left w:val="nil"/>
              <w:bottom w:val="nil"/>
              <w:right w:val="nil"/>
            </w:tcBorders>
            <w:noWrap/>
            <w:vAlign w:val="center"/>
          </w:tcPr>
          <w:p w14:paraId="46254DC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10" w:type="dxa"/>
            <w:tcBorders>
              <w:top w:val="nil"/>
              <w:left w:val="nil"/>
              <w:bottom w:val="nil"/>
              <w:right w:val="nil"/>
            </w:tcBorders>
            <w:noWrap/>
            <w:vAlign w:val="center"/>
          </w:tcPr>
          <w:p w14:paraId="2026812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641.8</w:t>
            </w:r>
          </w:p>
        </w:tc>
        <w:tc>
          <w:tcPr>
            <w:tcW w:w="810" w:type="dxa"/>
            <w:tcBorders>
              <w:top w:val="nil"/>
              <w:left w:val="nil"/>
              <w:bottom w:val="nil"/>
              <w:right w:val="nil"/>
            </w:tcBorders>
            <w:noWrap/>
            <w:vAlign w:val="center"/>
          </w:tcPr>
          <w:p w14:paraId="00345F5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178.09</w:t>
            </w:r>
          </w:p>
        </w:tc>
      </w:tr>
      <w:tr w14:paraId="7EDCA2B8">
        <w:trPr>
          <w:trHeight w:val="336" w:hRule="atLeast"/>
          <w:jc w:val="center"/>
        </w:trPr>
        <w:tc>
          <w:tcPr>
            <w:tcW w:w="1436" w:type="dxa"/>
            <w:tcBorders>
              <w:top w:val="nil"/>
              <w:left w:val="nil"/>
              <w:bottom w:val="nil"/>
              <w:right w:val="nil"/>
            </w:tcBorders>
            <w:noWrap/>
            <w:vAlign w:val="center"/>
          </w:tcPr>
          <w:p w14:paraId="6629D89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n=65</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6E66DF36">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7B8E09F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7.04</w:t>
            </w:r>
          </w:p>
        </w:tc>
        <w:tc>
          <w:tcPr>
            <w:tcW w:w="833" w:type="dxa"/>
            <w:tcBorders>
              <w:top w:val="nil"/>
              <w:left w:val="nil"/>
              <w:bottom w:val="nil"/>
              <w:right w:val="nil"/>
            </w:tcBorders>
            <w:noWrap/>
            <w:vAlign w:val="center"/>
          </w:tcPr>
          <w:p w14:paraId="1320F93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14.44</w:t>
            </w:r>
          </w:p>
        </w:tc>
        <w:tc>
          <w:tcPr>
            <w:tcW w:w="982" w:type="dxa"/>
            <w:tcBorders>
              <w:top w:val="nil"/>
              <w:left w:val="nil"/>
              <w:bottom w:val="nil"/>
              <w:right w:val="nil"/>
            </w:tcBorders>
            <w:noWrap/>
            <w:vAlign w:val="center"/>
          </w:tcPr>
          <w:p w14:paraId="730554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417.6</w:t>
            </w:r>
          </w:p>
        </w:tc>
        <w:tc>
          <w:tcPr>
            <w:tcW w:w="850" w:type="dxa"/>
            <w:tcBorders>
              <w:top w:val="nil"/>
              <w:left w:val="nil"/>
              <w:bottom w:val="nil"/>
              <w:right w:val="nil"/>
            </w:tcBorders>
            <w:noWrap/>
            <w:vAlign w:val="center"/>
          </w:tcPr>
          <w:p w14:paraId="2E7B07B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2.68</w:t>
            </w:r>
          </w:p>
        </w:tc>
        <w:tc>
          <w:tcPr>
            <w:tcW w:w="863" w:type="dxa"/>
            <w:tcBorders>
              <w:top w:val="nil"/>
              <w:left w:val="nil"/>
              <w:bottom w:val="nil"/>
              <w:right w:val="nil"/>
            </w:tcBorders>
            <w:noWrap/>
            <w:vAlign w:val="center"/>
          </w:tcPr>
          <w:p w14:paraId="40E4729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-59.14</w:t>
            </w:r>
          </w:p>
        </w:tc>
        <w:tc>
          <w:tcPr>
            <w:tcW w:w="710" w:type="dxa"/>
            <w:tcBorders>
              <w:top w:val="nil"/>
              <w:left w:val="nil"/>
              <w:bottom w:val="nil"/>
              <w:right w:val="nil"/>
            </w:tcBorders>
            <w:noWrap/>
            <w:vAlign w:val="center"/>
          </w:tcPr>
          <w:p w14:paraId="170BF22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0.132</w:t>
            </w:r>
          </w:p>
        </w:tc>
        <w:tc>
          <w:tcPr>
            <w:tcW w:w="810" w:type="dxa"/>
            <w:tcBorders>
              <w:top w:val="nil"/>
              <w:left w:val="nil"/>
              <w:bottom w:val="nil"/>
              <w:right w:val="nil"/>
            </w:tcBorders>
            <w:noWrap/>
            <w:vAlign w:val="center"/>
          </w:tcPr>
          <w:p w14:paraId="405594F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267.8</w:t>
            </w:r>
          </w:p>
        </w:tc>
        <w:tc>
          <w:tcPr>
            <w:tcW w:w="810" w:type="dxa"/>
            <w:tcBorders>
              <w:top w:val="nil"/>
              <w:left w:val="nil"/>
              <w:bottom w:val="nil"/>
              <w:right w:val="nil"/>
            </w:tcBorders>
            <w:noWrap/>
            <w:vAlign w:val="center"/>
          </w:tcPr>
          <w:p w14:paraId="2E4096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5.19</w:t>
            </w:r>
          </w:p>
        </w:tc>
      </w:tr>
      <w:tr w14:paraId="0AED29C5">
        <w:trPr>
          <w:trHeight w:val="336" w:hRule="atLeast"/>
          <w:jc w:val="center"/>
        </w:trPr>
        <w:tc>
          <w:tcPr>
            <w:tcW w:w="1436" w:type="dxa"/>
            <w:tcBorders>
              <w:top w:val="nil"/>
              <w:left w:val="nil"/>
              <w:bottom w:val="nil"/>
              <w:right w:val="nil"/>
            </w:tcBorders>
            <w:noWrap/>
            <w:vAlign w:val="center"/>
          </w:tcPr>
          <w:p w14:paraId="715B6494">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5A2E65C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4104097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7.35</w:t>
            </w:r>
          </w:p>
        </w:tc>
        <w:tc>
          <w:tcPr>
            <w:tcW w:w="833" w:type="dxa"/>
            <w:tcBorders>
              <w:top w:val="nil"/>
              <w:left w:val="nil"/>
              <w:bottom w:val="nil"/>
              <w:right w:val="nil"/>
            </w:tcBorders>
            <w:noWrap/>
            <w:vAlign w:val="center"/>
          </w:tcPr>
          <w:p w14:paraId="52EC099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15.49</w:t>
            </w:r>
          </w:p>
        </w:tc>
        <w:tc>
          <w:tcPr>
            <w:tcW w:w="982" w:type="dxa"/>
            <w:tcBorders>
              <w:top w:val="nil"/>
              <w:left w:val="nil"/>
              <w:bottom w:val="nil"/>
              <w:right w:val="nil"/>
            </w:tcBorders>
            <w:noWrap/>
            <w:vAlign w:val="center"/>
          </w:tcPr>
          <w:p w14:paraId="443823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661.79</w:t>
            </w:r>
          </w:p>
        </w:tc>
        <w:tc>
          <w:tcPr>
            <w:tcW w:w="850" w:type="dxa"/>
            <w:tcBorders>
              <w:top w:val="nil"/>
              <w:left w:val="nil"/>
              <w:bottom w:val="nil"/>
              <w:right w:val="nil"/>
            </w:tcBorders>
            <w:noWrap/>
            <w:vAlign w:val="center"/>
          </w:tcPr>
          <w:p w14:paraId="38A72FA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6.414</w:t>
            </w:r>
          </w:p>
        </w:tc>
        <w:tc>
          <w:tcPr>
            <w:tcW w:w="863" w:type="dxa"/>
            <w:tcBorders>
              <w:top w:val="nil"/>
              <w:left w:val="nil"/>
              <w:bottom w:val="nil"/>
              <w:right w:val="nil"/>
            </w:tcBorders>
            <w:noWrap/>
            <w:vAlign w:val="center"/>
          </w:tcPr>
          <w:p w14:paraId="00DAFA2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0.52</w:t>
            </w:r>
          </w:p>
        </w:tc>
        <w:tc>
          <w:tcPr>
            <w:tcW w:w="710" w:type="dxa"/>
            <w:tcBorders>
              <w:top w:val="nil"/>
              <w:left w:val="nil"/>
              <w:bottom w:val="nil"/>
              <w:right w:val="nil"/>
            </w:tcBorders>
            <w:noWrap/>
            <w:vAlign w:val="center"/>
          </w:tcPr>
          <w:p w14:paraId="6BBB424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0.27</w:t>
            </w:r>
          </w:p>
        </w:tc>
        <w:tc>
          <w:tcPr>
            <w:tcW w:w="810" w:type="dxa"/>
            <w:tcBorders>
              <w:top w:val="nil"/>
              <w:left w:val="nil"/>
              <w:bottom w:val="nil"/>
              <w:right w:val="nil"/>
            </w:tcBorders>
            <w:noWrap/>
            <w:vAlign w:val="center"/>
          </w:tcPr>
          <w:p w14:paraId="09EB23D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429.90</w:t>
            </w:r>
          </w:p>
        </w:tc>
        <w:tc>
          <w:tcPr>
            <w:tcW w:w="810" w:type="dxa"/>
            <w:tcBorders>
              <w:top w:val="nil"/>
              <w:left w:val="nil"/>
              <w:bottom w:val="nil"/>
              <w:right w:val="nil"/>
            </w:tcBorders>
            <w:noWrap/>
            <w:vAlign w:val="center"/>
          </w:tcPr>
          <w:p w14:paraId="1CC9F5F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37.75</w:t>
            </w:r>
          </w:p>
        </w:tc>
      </w:tr>
      <w:tr w14:paraId="106B694E">
        <w:trPr>
          <w:trHeight w:val="336" w:hRule="atLeast"/>
          <w:jc w:val="center"/>
        </w:trPr>
        <w:tc>
          <w:tcPr>
            <w:tcW w:w="1436" w:type="dxa"/>
            <w:tcBorders>
              <w:top w:val="nil"/>
              <w:left w:val="nil"/>
              <w:bottom w:val="nil"/>
              <w:right w:val="nil"/>
            </w:tcBorders>
            <w:noWrap/>
            <w:vAlign w:val="center"/>
          </w:tcPr>
          <w:p w14:paraId="476830C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0323FD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16BAAB2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0.44</w:t>
            </w:r>
          </w:p>
        </w:tc>
        <w:tc>
          <w:tcPr>
            <w:tcW w:w="833" w:type="dxa"/>
            <w:tcBorders>
              <w:top w:val="nil"/>
              <w:left w:val="nil"/>
              <w:bottom w:val="nil"/>
              <w:right w:val="nil"/>
            </w:tcBorders>
            <w:noWrap/>
            <w:vAlign w:val="center"/>
          </w:tcPr>
          <w:p w14:paraId="1245BC8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0.69</w:t>
            </w:r>
          </w:p>
        </w:tc>
        <w:tc>
          <w:tcPr>
            <w:tcW w:w="982" w:type="dxa"/>
            <w:tcBorders>
              <w:top w:val="nil"/>
              <w:left w:val="nil"/>
              <w:bottom w:val="nil"/>
              <w:right w:val="nil"/>
            </w:tcBorders>
            <w:noWrap/>
            <w:vAlign w:val="center"/>
          </w:tcPr>
          <w:p w14:paraId="185DABE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170.65</w:t>
            </w:r>
          </w:p>
        </w:tc>
        <w:tc>
          <w:tcPr>
            <w:tcW w:w="850" w:type="dxa"/>
            <w:tcBorders>
              <w:top w:val="nil"/>
              <w:left w:val="nil"/>
              <w:bottom w:val="nil"/>
              <w:right w:val="nil"/>
            </w:tcBorders>
            <w:noWrap/>
            <w:vAlign w:val="center"/>
          </w:tcPr>
          <w:p w14:paraId="5C99A818">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1.24</w:t>
            </w:r>
          </w:p>
        </w:tc>
        <w:tc>
          <w:tcPr>
            <w:tcW w:w="863" w:type="dxa"/>
            <w:tcBorders>
              <w:top w:val="nil"/>
              <w:left w:val="nil"/>
              <w:bottom w:val="nil"/>
              <w:right w:val="nil"/>
            </w:tcBorders>
            <w:noWrap/>
            <w:vAlign w:val="center"/>
          </w:tcPr>
          <w:p w14:paraId="0DD28A5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29.61</w:t>
            </w:r>
          </w:p>
        </w:tc>
        <w:tc>
          <w:tcPr>
            <w:tcW w:w="710" w:type="dxa"/>
            <w:tcBorders>
              <w:top w:val="nil"/>
              <w:left w:val="nil"/>
              <w:bottom w:val="nil"/>
              <w:right w:val="nil"/>
            </w:tcBorders>
            <w:noWrap/>
            <w:vAlign w:val="center"/>
          </w:tcPr>
          <w:p w14:paraId="611316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0.09</w:t>
            </w:r>
          </w:p>
        </w:tc>
        <w:tc>
          <w:tcPr>
            <w:tcW w:w="810" w:type="dxa"/>
            <w:tcBorders>
              <w:top w:val="nil"/>
              <w:left w:val="nil"/>
              <w:bottom w:val="nil"/>
              <w:right w:val="nil"/>
            </w:tcBorders>
            <w:noWrap/>
            <w:vAlign w:val="center"/>
          </w:tcPr>
          <w:p w14:paraId="344CA11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111.16</w:t>
            </w:r>
          </w:p>
        </w:tc>
        <w:tc>
          <w:tcPr>
            <w:tcW w:w="810" w:type="dxa"/>
            <w:tcBorders>
              <w:top w:val="nil"/>
              <w:left w:val="nil"/>
              <w:bottom w:val="nil"/>
              <w:right w:val="nil"/>
            </w:tcBorders>
            <w:noWrap/>
            <w:vAlign w:val="center"/>
          </w:tcPr>
          <w:p w14:paraId="7ACC732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33.13</w:t>
            </w:r>
          </w:p>
        </w:tc>
      </w:tr>
      <w:tr w14:paraId="37BB7922">
        <w:trPr>
          <w:trHeight w:val="336" w:hRule="atLeast"/>
          <w:jc w:val="center"/>
        </w:trPr>
        <w:tc>
          <w:tcPr>
            <w:tcW w:w="1436" w:type="dxa"/>
            <w:tcBorders>
              <w:top w:val="nil"/>
              <w:left w:val="nil"/>
              <w:bottom w:val="nil"/>
              <w:right w:val="nil"/>
            </w:tcBorders>
            <w:noWrap/>
            <w:vAlign w:val="center"/>
          </w:tcPr>
          <w:p w14:paraId="03B394CE">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1B60508B">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nil"/>
              <w:right w:val="nil"/>
            </w:tcBorders>
            <w:noWrap/>
            <w:vAlign w:val="center"/>
          </w:tcPr>
          <w:p w14:paraId="58FEB6B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0.06</w:t>
            </w:r>
          </w:p>
        </w:tc>
        <w:tc>
          <w:tcPr>
            <w:tcW w:w="833" w:type="dxa"/>
            <w:tcBorders>
              <w:top w:val="nil"/>
              <w:left w:val="nil"/>
              <w:bottom w:val="nil"/>
              <w:right w:val="nil"/>
            </w:tcBorders>
            <w:noWrap/>
            <w:vAlign w:val="center"/>
          </w:tcPr>
          <w:p w14:paraId="3EB3881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nil"/>
              <w:right w:val="nil"/>
            </w:tcBorders>
            <w:noWrap/>
            <w:vAlign w:val="center"/>
          </w:tcPr>
          <w:p w14:paraId="08794B8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50" w:type="dxa"/>
            <w:tcBorders>
              <w:top w:val="nil"/>
              <w:left w:val="nil"/>
              <w:bottom w:val="nil"/>
              <w:right w:val="nil"/>
            </w:tcBorders>
            <w:noWrap/>
            <w:vAlign w:val="center"/>
          </w:tcPr>
          <w:p w14:paraId="30542E9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0.19</w:t>
            </w:r>
          </w:p>
        </w:tc>
        <w:tc>
          <w:tcPr>
            <w:tcW w:w="863" w:type="dxa"/>
            <w:tcBorders>
              <w:top w:val="nil"/>
              <w:left w:val="nil"/>
              <w:bottom w:val="nil"/>
              <w:right w:val="nil"/>
            </w:tcBorders>
            <w:noWrap/>
            <w:vAlign w:val="center"/>
          </w:tcPr>
          <w:p w14:paraId="288C7D4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57.21</w:t>
            </w:r>
          </w:p>
        </w:tc>
        <w:tc>
          <w:tcPr>
            <w:tcW w:w="710" w:type="dxa"/>
            <w:tcBorders>
              <w:top w:val="nil"/>
              <w:left w:val="nil"/>
              <w:bottom w:val="nil"/>
              <w:right w:val="nil"/>
            </w:tcBorders>
            <w:noWrap/>
            <w:vAlign w:val="center"/>
          </w:tcPr>
          <w:p w14:paraId="30AEAA2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0.34</w:t>
            </w:r>
          </w:p>
        </w:tc>
        <w:tc>
          <w:tcPr>
            <w:tcW w:w="810" w:type="dxa"/>
            <w:tcBorders>
              <w:top w:val="nil"/>
              <w:left w:val="nil"/>
              <w:bottom w:val="nil"/>
              <w:right w:val="nil"/>
            </w:tcBorders>
            <w:noWrap/>
            <w:vAlign w:val="center"/>
          </w:tcPr>
          <w:p w14:paraId="37C2EEE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0.26</w:t>
            </w:r>
          </w:p>
        </w:tc>
        <w:tc>
          <w:tcPr>
            <w:tcW w:w="810" w:type="dxa"/>
            <w:tcBorders>
              <w:top w:val="nil"/>
              <w:left w:val="nil"/>
              <w:bottom w:val="nil"/>
              <w:right w:val="nil"/>
            </w:tcBorders>
            <w:noWrap/>
            <w:vAlign w:val="center"/>
          </w:tcPr>
          <w:p w14:paraId="4C536E4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0.88</w:t>
            </w:r>
          </w:p>
        </w:tc>
      </w:tr>
      <w:tr w14:paraId="65C4F1FB">
        <w:trPr>
          <w:trHeight w:val="336" w:hRule="atLeast"/>
          <w:jc w:val="center"/>
        </w:trPr>
        <w:tc>
          <w:tcPr>
            <w:tcW w:w="1436" w:type="dxa"/>
            <w:tcBorders>
              <w:top w:val="nil"/>
              <w:left w:val="nil"/>
              <w:bottom w:val="nil"/>
              <w:right w:val="nil"/>
            </w:tcBorders>
            <w:noWrap/>
            <w:vAlign w:val="center"/>
          </w:tcPr>
          <w:p w14:paraId="2E22DC2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Wet season</w:t>
            </w:r>
          </w:p>
        </w:tc>
        <w:tc>
          <w:tcPr>
            <w:tcW w:w="695" w:type="dxa"/>
            <w:tcBorders>
              <w:top w:val="nil"/>
              <w:left w:val="nil"/>
              <w:bottom w:val="nil"/>
              <w:right w:val="nil"/>
            </w:tcBorders>
            <w:noWrap/>
            <w:vAlign w:val="center"/>
          </w:tcPr>
          <w:p w14:paraId="0A65877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Max</w:t>
            </w:r>
          </w:p>
        </w:tc>
        <w:tc>
          <w:tcPr>
            <w:tcW w:w="801" w:type="dxa"/>
            <w:tcBorders>
              <w:top w:val="nil"/>
              <w:left w:val="nil"/>
              <w:bottom w:val="nil"/>
              <w:right w:val="nil"/>
            </w:tcBorders>
            <w:noWrap/>
            <w:vAlign w:val="center"/>
          </w:tcPr>
          <w:p w14:paraId="740B716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8.21</w:t>
            </w:r>
          </w:p>
        </w:tc>
        <w:tc>
          <w:tcPr>
            <w:tcW w:w="833" w:type="dxa"/>
            <w:tcBorders>
              <w:top w:val="nil"/>
              <w:left w:val="nil"/>
              <w:bottom w:val="nil"/>
              <w:right w:val="nil"/>
            </w:tcBorders>
            <w:noWrap/>
            <w:vAlign w:val="center"/>
          </w:tcPr>
          <w:p w14:paraId="760AF9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18.88</w:t>
            </w:r>
          </w:p>
        </w:tc>
        <w:tc>
          <w:tcPr>
            <w:tcW w:w="982" w:type="dxa"/>
            <w:tcBorders>
              <w:top w:val="nil"/>
              <w:left w:val="nil"/>
              <w:bottom w:val="nil"/>
              <w:right w:val="nil"/>
            </w:tcBorders>
            <w:noWrap/>
            <w:vAlign w:val="center"/>
          </w:tcPr>
          <w:p w14:paraId="1E1C198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872.8</w:t>
            </w:r>
          </w:p>
        </w:tc>
        <w:tc>
          <w:tcPr>
            <w:tcW w:w="850" w:type="dxa"/>
            <w:tcBorders>
              <w:top w:val="nil"/>
              <w:left w:val="nil"/>
              <w:bottom w:val="nil"/>
              <w:right w:val="nil"/>
            </w:tcBorders>
            <w:noWrap/>
            <w:vAlign w:val="center"/>
          </w:tcPr>
          <w:p w14:paraId="370C6E1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8.54</w:t>
            </w:r>
          </w:p>
        </w:tc>
        <w:tc>
          <w:tcPr>
            <w:tcW w:w="863" w:type="dxa"/>
            <w:tcBorders>
              <w:top w:val="nil"/>
              <w:left w:val="nil"/>
              <w:bottom w:val="nil"/>
              <w:right w:val="nil"/>
            </w:tcBorders>
            <w:noWrap/>
            <w:vAlign w:val="center"/>
          </w:tcPr>
          <w:p w14:paraId="72E75F1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56.4</w:t>
            </w:r>
          </w:p>
        </w:tc>
        <w:tc>
          <w:tcPr>
            <w:tcW w:w="710" w:type="dxa"/>
            <w:tcBorders>
              <w:top w:val="nil"/>
              <w:left w:val="nil"/>
              <w:bottom w:val="nil"/>
              <w:right w:val="nil"/>
            </w:tcBorders>
            <w:noWrap/>
            <w:vAlign w:val="center"/>
          </w:tcPr>
          <w:p w14:paraId="3137B1D3">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0.37</w:t>
            </w:r>
          </w:p>
        </w:tc>
        <w:tc>
          <w:tcPr>
            <w:tcW w:w="810" w:type="dxa"/>
            <w:tcBorders>
              <w:top w:val="nil"/>
              <w:left w:val="nil"/>
              <w:bottom w:val="nil"/>
              <w:right w:val="nil"/>
            </w:tcBorders>
            <w:noWrap/>
            <w:vAlign w:val="center"/>
          </w:tcPr>
          <w:p w14:paraId="40ADB59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569</w:t>
            </w:r>
          </w:p>
        </w:tc>
        <w:tc>
          <w:tcPr>
            <w:tcW w:w="810" w:type="dxa"/>
            <w:tcBorders>
              <w:top w:val="nil"/>
              <w:left w:val="nil"/>
              <w:bottom w:val="nil"/>
              <w:right w:val="nil"/>
            </w:tcBorders>
            <w:noWrap/>
            <w:vAlign w:val="center"/>
          </w:tcPr>
          <w:p w14:paraId="631CDFD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80.37</w:t>
            </w:r>
          </w:p>
        </w:tc>
      </w:tr>
      <w:tr w14:paraId="2525DEAE">
        <w:trPr>
          <w:trHeight w:val="336" w:hRule="atLeast"/>
          <w:jc w:val="center"/>
        </w:trPr>
        <w:tc>
          <w:tcPr>
            <w:tcW w:w="1436" w:type="dxa"/>
            <w:tcBorders>
              <w:top w:val="nil"/>
              <w:left w:val="nil"/>
              <w:bottom w:val="nil"/>
              <w:right w:val="nil"/>
            </w:tcBorders>
            <w:noWrap/>
            <w:vAlign w:val="center"/>
          </w:tcPr>
          <w:p w14:paraId="4F841C13">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n=50</w:t>
            </w:r>
            <w:r>
              <w:rPr>
                <w:rFonts w:hint="eastAsia" w:ascii="Times New Roman Regular" w:hAnsi="Times New Roman Regular" w:eastAsia="宋体" w:cs="Times New Roman Regular"/>
                <w:color w:val="0000FF"/>
                <w:kern w:val="0"/>
                <w:sz w:val="18"/>
                <w:szCs w:val="18"/>
                <w:lang w:bidi="ar"/>
              </w:rPr>
              <w:t>0</w:t>
            </w:r>
          </w:p>
        </w:tc>
        <w:tc>
          <w:tcPr>
            <w:tcW w:w="695" w:type="dxa"/>
            <w:tcBorders>
              <w:top w:val="nil"/>
              <w:left w:val="nil"/>
              <w:bottom w:val="nil"/>
              <w:right w:val="nil"/>
            </w:tcBorders>
            <w:noWrap/>
            <w:vAlign w:val="center"/>
          </w:tcPr>
          <w:p w14:paraId="1A35E257">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Min</w:t>
            </w:r>
          </w:p>
        </w:tc>
        <w:tc>
          <w:tcPr>
            <w:tcW w:w="801" w:type="dxa"/>
            <w:tcBorders>
              <w:top w:val="nil"/>
              <w:left w:val="nil"/>
              <w:bottom w:val="nil"/>
              <w:right w:val="nil"/>
            </w:tcBorders>
            <w:noWrap/>
            <w:vAlign w:val="center"/>
          </w:tcPr>
          <w:p w14:paraId="2038EA7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6.31</w:t>
            </w:r>
          </w:p>
        </w:tc>
        <w:tc>
          <w:tcPr>
            <w:tcW w:w="833" w:type="dxa"/>
            <w:tcBorders>
              <w:top w:val="nil"/>
              <w:left w:val="nil"/>
              <w:bottom w:val="nil"/>
              <w:right w:val="nil"/>
            </w:tcBorders>
            <w:noWrap/>
            <w:vAlign w:val="center"/>
          </w:tcPr>
          <w:p w14:paraId="428890C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16.12</w:t>
            </w:r>
          </w:p>
        </w:tc>
        <w:tc>
          <w:tcPr>
            <w:tcW w:w="982" w:type="dxa"/>
            <w:tcBorders>
              <w:top w:val="nil"/>
              <w:left w:val="nil"/>
              <w:bottom w:val="nil"/>
              <w:right w:val="nil"/>
            </w:tcBorders>
            <w:noWrap/>
            <w:vAlign w:val="center"/>
          </w:tcPr>
          <w:p w14:paraId="0C280F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395.8</w:t>
            </w:r>
          </w:p>
        </w:tc>
        <w:tc>
          <w:tcPr>
            <w:tcW w:w="850" w:type="dxa"/>
            <w:tcBorders>
              <w:top w:val="nil"/>
              <w:left w:val="nil"/>
              <w:bottom w:val="nil"/>
              <w:right w:val="nil"/>
            </w:tcBorders>
            <w:noWrap/>
            <w:vAlign w:val="center"/>
          </w:tcPr>
          <w:p w14:paraId="77D5FB8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5.34</w:t>
            </w:r>
          </w:p>
        </w:tc>
        <w:tc>
          <w:tcPr>
            <w:tcW w:w="863" w:type="dxa"/>
            <w:tcBorders>
              <w:top w:val="nil"/>
              <w:left w:val="nil"/>
              <w:bottom w:val="nil"/>
              <w:right w:val="nil"/>
            </w:tcBorders>
            <w:noWrap/>
            <w:vAlign w:val="center"/>
          </w:tcPr>
          <w:p w14:paraId="671F3E6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-77.64</w:t>
            </w:r>
          </w:p>
        </w:tc>
        <w:tc>
          <w:tcPr>
            <w:tcW w:w="710" w:type="dxa"/>
            <w:tcBorders>
              <w:top w:val="nil"/>
              <w:left w:val="nil"/>
              <w:bottom w:val="nil"/>
              <w:right w:val="nil"/>
            </w:tcBorders>
            <w:noWrap/>
            <w:vAlign w:val="center"/>
          </w:tcPr>
          <w:p w14:paraId="34AA305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0.13</w:t>
            </w:r>
          </w:p>
        </w:tc>
        <w:tc>
          <w:tcPr>
            <w:tcW w:w="810" w:type="dxa"/>
            <w:tcBorders>
              <w:top w:val="nil"/>
              <w:left w:val="nil"/>
              <w:bottom w:val="nil"/>
              <w:right w:val="nil"/>
            </w:tcBorders>
            <w:noWrap/>
            <w:vAlign w:val="center"/>
          </w:tcPr>
          <w:p w14:paraId="000E410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257.6</w:t>
            </w:r>
          </w:p>
        </w:tc>
        <w:tc>
          <w:tcPr>
            <w:tcW w:w="810" w:type="dxa"/>
            <w:tcBorders>
              <w:top w:val="nil"/>
              <w:left w:val="nil"/>
              <w:bottom w:val="nil"/>
              <w:right w:val="nil"/>
            </w:tcBorders>
            <w:noWrap/>
            <w:vAlign w:val="center"/>
          </w:tcPr>
          <w:p w14:paraId="3DE213FE">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8.47</w:t>
            </w:r>
          </w:p>
        </w:tc>
      </w:tr>
      <w:tr w14:paraId="1C68ED88">
        <w:trPr>
          <w:trHeight w:val="336" w:hRule="atLeast"/>
          <w:jc w:val="center"/>
        </w:trPr>
        <w:tc>
          <w:tcPr>
            <w:tcW w:w="1436" w:type="dxa"/>
            <w:tcBorders>
              <w:top w:val="nil"/>
              <w:left w:val="nil"/>
              <w:bottom w:val="nil"/>
              <w:right w:val="nil"/>
            </w:tcBorders>
            <w:noWrap/>
            <w:vAlign w:val="center"/>
          </w:tcPr>
          <w:p w14:paraId="38DC6D70">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B5F2C50">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Mean</w:t>
            </w:r>
          </w:p>
        </w:tc>
        <w:tc>
          <w:tcPr>
            <w:tcW w:w="801" w:type="dxa"/>
            <w:tcBorders>
              <w:top w:val="nil"/>
              <w:left w:val="nil"/>
              <w:bottom w:val="nil"/>
              <w:right w:val="nil"/>
            </w:tcBorders>
            <w:noWrap/>
            <w:vAlign w:val="center"/>
          </w:tcPr>
          <w:p w14:paraId="0D33F5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7.38</w:t>
            </w:r>
          </w:p>
        </w:tc>
        <w:tc>
          <w:tcPr>
            <w:tcW w:w="833" w:type="dxa"/>
            <w:tcBorders>
              <w:top w:val="nil"/>
              <w:left w:val="nil"/>
              <w:bottom w:val="nil"/>
              <w:right w:val="nil"/>
            </w:tcBorders>
            <w:noWrap/>
            <w:vAlign w:val="center"/>
          </w:tcPr>
          <w:p w14:paraId="1D6FFD2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16.93</w:t>
            </w:r>
          </w:p>
        </w:tc>
        <w:tc>
          <w:tcPr>
            <w:tcW w:w="982" w:type="dxa"/>
            <w:tcBorders>
              <w:top w:val="nil"/>
              <w:left w:val="nil"/>
              <w:bottom w:val="nil"/>
              <w:right w:val="nil"/>
            </w:tcBorders>
            <w:noWrap/>
            <w:vAlign w:val="center"/>
          </w:tcPr>
          <w:p w14:paraId="6C4F23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535.7</w:t>
            </w:r>
          </w:p>
        </w:tc>
        <w:tc>
          <w:tcPr>
            <w:tcW w:w="850" w:type="dxa"/>
            <w:tcBorders>
              <w:top w:val="nil"/>
              <w:left w:val="nil"/>
              <w:bottom w:val="nil"/>
              <w:right w:val="nil"/>
            </w:tcBorders>
            <w:noWrap/>
            <w:vAlign w:val="center"/>
          </w:tcPr>
          <w:p w14:paraId="3322DAE6">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7.06</w:t>
            </w:r>
          </w:p>
        </w:tc>
        <w:tc>
          <w:tcPr>
            <w:tcW w:w="863" w:type="dxa"/>
            <w:tcBorders>
              <w:top w:val="nil"/>
              <w:left w:val="nil"/>
              <w:bottom w:val="nil"/>
              <w:right w:val="nil"/>
            </w:tcBorders>
            <w:noWrap/>
            <w:vAlign w:val="center"/>
          </w:tcPr>
          <w:p w14:paraId="5B34774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13.75</w:t>
            </w:r>
          </w:p>
        </w:tc>
        <w:tc>
          <w:tcPr>
            <w:tcW w:w="710" w:type="dxa"/>
            <w:tcBorders>
              <w:top w:val="nil"/>
              <w:left w:val="nil"/>
              <w:bottom w:val="nil"/>
              <w:right w:val="nil"/>
            </w:tcBorders>
            <w:noWrap/>
            <w:vAlign w:val="center"/>
          </w:tcPr>
          <w:p w14:paraId="06CFE051">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0.20</w:t>
            </w:r>
          </w:p>
        </w:tc>
        <w:tc>
          <w:tcPr>
            <w:tcW w:w="810" w:type="dxa"/>
            <w:tcBorders>
              <w:top w:val="nil"/>
              <w:left w:val="nil"/>
              <w:bottom w:val="nil"/>
              <w:right w:val="nil"/>
            </w:tcBorders>
            <w:noWrap/>
            <w:vAlign w:val="center"/>
          </w:tcPr>
          <w:p w14:paraId="6FDD45E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348.24</w:t>
            </w:r>
          </w:p>
        </w:tc>
        <w:tc>
          <w:tcPr>
            <w:tcW w:w="810" w:type="dxa"/>
            <w:tcBorders>
              <w:top w:val="nil"/>
              <w:left w:val="nil"/>
              <w:bottom w:val="nil"/>
              <w:right w:val="nil"/>
            </w:tcBorders>
            <w:noWrap/>
            <w:vAlign w:val="center"/>
          </w:tcPr>
          <w:p w14:paraId="16CEF3B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25.85</w:t>
            </w:r>
          </w:p>
        </w:tc>
      </w:tr>
      <w:tr w14:paraId="2D12D7E4">
        <w:trPr>
          <w:trHeight w:val="336" w:hRule="atLeast"/>
          <w:jc w:val="center"/>
        </w:trPr>
        <w:tc>
          <w:tcPr>
            <w:tcW w:w="1436" w:type="dxa"/>
            <w:tcBorders>
              <w:top w:val="nil"/>
              <w:left w:val="nil"/>
              <w:bottom w:val="nil"/>
              <w:right w:val="nil"/>
            </w:tcBorders>
            <w:noWrap/>
            <w:vAlign w:val="center"/>
          </w:tcPr>
          <w:p w14:paraId="006D2E69">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nil"/>
              <w:right w:val="nil"/>
            </w:tcBorders>
            <w:noWrap/>
            <w:vAlign w:val="center"/>
          </w:tcPr>
          <w:p w14:paraId="779A27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SD</w:t>
            </w:r>
          </w:p>
        </w:tc>
        <w:tc>
          <w:tcPr>
            <w:tcW w:w="801" w:type="dxa"/>
            <w:tcBorders>
              <w:top w:val="nil"/>
              <w:left w:val="nil"/>
              <w:bottom w:val="nil"/>
              <w:right w:val="nil"/>
            </w:tcBorders>
            <w:noWrap/>
            <w:vAlign w:val="center"/>
          </w:tcPr>
          <w:p w14:paraId="6FF8528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0.33</w:t>
            </w:r>
          </w:p>
        </w:tc>
        <w:tc>
          <w:tcPr>
            <w:tcW w:w="833" w:type="dxa"/>
            <w:tcBorders>
              <w:top w:val="nil"/>
              <w:left w:val="nil"/>
              <w:bottom w:val="nil"/>
              <w:right w:val="nil"/>
            </w:tcBorders>
            <w:noWrap/>
            <w:vAlign w:val="center"/>
          </w:tcPr>
          <w:p w14:paraId="2483EDF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0.62</w:t>
            </w:r>
          </w:p>
        </w:tc>
        <w:tc>
          <w:tcPr>
            <w:tcW w:w="982" w:type="dxa"/>
            <w:tcBorders>
              <w:top w:val="nil"/>
              <w:left w:val="nil"/>
              <w:bottom w:val="nil"/>
              <w:right w:val="nil"/>
            </w:tcBorders>
            <w:noWrap/>
            <w:vAlign w:val="center"/>
          </w:tcPr>
          <w:p w14:paraId="744D41F2">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131.02</w:t>
            </w:r>
          </w:p>
        </w:tc>
        <w:tc>
          <w:tcPr>
            <w:tcW w:w="850" w:type="dxa"/>
            <w:tcBorders>
              <w:top w:val="nil"/>
              <w:left w:val="nil"/>
              <w:bottom w:val="nil"/>
              <w:right w:val="nil"/>
            </w:tcBorders>
            <w:noWrap/>
            <w:vAlign w:val="center"/>
          </w:tcPr>
          <w:p w14:paraId="52E7CE9C">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0.78</w:t>
            </w:r>
          </w:p>
        </w:tc>
        <w:tc>
          <w:tcPr>
            <w:tcW w:w="863" w:type="dxa"/>
            <w:tcBorders>
              <w:top w:val="nil"/>
              <w:left w:val="nil"/>
              <w:bottom w:val="nil"/>
              <w:right w:val="nil"/>
            </w:tcBorders>
            <w:noWrap/>
            <w:vAlign w:val="center"/>
          </w:tcPr>
          <w:p w14:paraId="21EE0D8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28.85</w:t>
            </w:r>
          </w:p>
        </w:tc>
        <w:tc>
          <w:tcPr>
            <w:tcW w:w="710" w:type="dxa"/>
            <w:tcBorders>
              <w:top w:val="nil"/>
              <w:left w:val="nil"/>
              <w:bottom w:val="nil"/>
              <w:right w:val="nil"/>
            </w:tcBorders>
            <w:noWrap/>
            <w:vAlign w:val="center"/>
          </w:tcPr>
          <w:p w14:paraId="4489486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0.08</w:t>
            </w:r>
          </w:p>
        </w:tc>
        <w:tc>
          <w:tcPr>
            <w:tcW w:w="810" w:type="dxa"/>
            <w:tcBorders>
              <w:top w:val="nil"/>
              <w:left w:val="nil"/>
              <w:bottom w:val="nil"/>
              <w:right w:val="nil"/>
            </w:tcBorders>
            <w:noWrap/>
            <w:vAlign w:val="center"/>
          </w:tcPr>
          <w:p w14:paraId="61ACAF1A">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86.05</w:t>
            </w:r>
          </w:p>
        </w:tc>
        <w:tc>
          <w:tcPr>
            <w:tcW w:w="810" w:type="dxa"/>
            <w:tcBorders>
              <w:top w:val="nil"/>
              <w:left w:val="nil"/>
              <w:bottom w:val="nil"/>
              <w:right w:val="nil"/>
            </w:tcBorders>
            <w:noWrap/>
            <w:vAlign w:val="center"/>
          </w:tcPr>
          <w:p w14:paraId="38C65E0D">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19.88</w:t>
            </w:r>
          </w:p>
        </w:tc>
      </w:tr>
      <w:tr w14:paraId="30DE1A07">
        <w:trPr>
          <w:trHeight w:val="336" w:hRule="atLeast"/>
          <w:jc w:val="center"/>
        </w:trPr>
        <w:tc>
          <w:tcPr>
            <w:tcW w:w="1436" w:type="dxa"/>
            <w:tcBorders>
              <w:top w:val="nil"/>
              <w:left w:val="nil"/>
              <w:bottom w:val="single" w:color="auto" w:sz="4" w:space="0"/>
              <w:right w:val="nil"/>
            </w:tcBorders>
            <w:noWrap/>
            <w:vAlign w:val="center"/>
          </w:tcPr>
          <w:p w14:paraId="46F0FE06">
            <w:pPr>
              <w:spacing w:line="300" w:lineRule="auto"/>
              <w:rPr>
                <w:rFonts w:ascii="Times New Roman Regular" w:hAnsi="Times New Roman Regular" w:eastAsia="宋体" w:cs="Times New Roman Regular"/>
                <w:color w:val="0000FF"/>
                <w:sz w:val="18"/>
                <w:szCs w:val="18"/>
              </w:rPr>
            </w:pPr>
          </w:p>
        </w:tc>
        <w:tc>
          <w:tcPr>
            <w:tcW w:w="695" w:type="dxa"/>
            <w:tcBorders>
              <w:top w:val="nil"/>
              <w:left w:val="nil"/>
              <w:bottom w:val="single" w:color="auto" w:sz="4" w:space="0"/>
              <w:right w:val="nil"/>
            </w:tcBorders>
            <w:noWrap/>
            <w:vAlign w:val="center"/>
          </w:tcPr>
          <w:p w14:paraId="264E0EDD">
            <w:pPr>
              <w:widowControl/>
              <w:spacing w:line="300" w:lineRule="auto"/>
              <w:jc w:val="left"/>
              <w:textAlignment w:val="center"/>
              <w:rPr>
                <w:rFonts w:ascii="Times New Roman Regular" w:hAnsi="Times New Roman Regular" w:eastAsia="宋体" w:cs="Times New Roman Regular"/>
                <w:color w:val="0000FF"/>
                <w:sz w:val="18"/>
                <w:szCs w:val="18"/>
              </w:rPr>
            </w:pPr>
            <w:r>
              <w:rPr>
                <w:rFonts w:ascii="Times New Roman Regular" w:hAnsi="Times New Roman Regular" w:eastAsia="宋体" w:cs="Times New Roman Regular"/>
                <w:color w:val="0000FF"/>
                <w:kern w:val="0"/>
                <w:sz w:val="18"/>
                <w:szCs w:val="18"/>
                <w:lang w:bidi="ar"/>
              </w:rPr>
              <w:t>CV</w:t>
            </w:r>
          </w:p>
        </w:tc>
        <w:tc>
          <w:tcPr>
            <w:tcW w:w="801" w:type="dxa"/>
            <w:tcBorders>
              <w:top w:val="nil"/>
              <w:left w:val="nil"/>
              <w:bottom w:val="single" w:color="auto" w:sz="4" w:space="0"/>
              <w:right w:val="nil"/>
            </w:tcBorders>
            <w:noWrap/>
            <w:vAlign w:val="center"/>
          </w:tcPr>
          <w:p w14:paraId="1B9CF03B">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833" w:type="dxa"/>
            <w:tcBorders>
              <w:top w:val="nil"/>
              <w:left w:val="nil"/>
              <w:bottom w:val="single" w:color="auto" w:sz="4" w:space="0"/>
              <w:right w:val="nil"/>
            </w:tcBorders>
            <w:noWrap/>
            <w:vAlign w:val="center"/>
          </w:tcPr>
          <w:p w14:paraId="6EB8C6E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0.04</w:t>
            </w:r>
          </w:p>
        </w:tc>
        <w:tc>
          <w:tcPr>
            <w:tcW w:w="982" w:type="dxa"/>
            <w:tcBorders>
              <w:top w:val="nil"/>
              <w:left w:val="nil"/>
              <w:bottom w:val="single" w:color="auto" w:sz="4" w:space="0"/>
              <w:right w:val="nil"/>
            </w:tcBorders>
            <w:noWrap/>
            <w:vAlign w:val="center"/>
          </w:tcPr>
          <w:p w14:paraId="41B339A0">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0.24</w:t>
            </w:r>
          </w:p>
        </w:tc>
        <w:tc>
          <w:tcPr>
            <w:tcW w:w="850" w:type="dxa"/>
            <w:tcBorders>
              <w:top w:val="nil"/>
              <w:left w:val="nil"/>
              <w:bottom w:val="single" w:color="auto" w:sz="4" w:space="0"/>
              <w:right w:val="nil"/>
            </w:tcBorders>
            <w:noWrap/>
            <w:vAlign w:val="center"/>
          </w:tcPr>
          <w:p w14:paraId="13B68179">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0.11</w:t>
            </w:r>
          </w:p>
        </w:tc>
        <w:tc>
          <w:tcPr>
            <w:tcW w:w="863" w:type="dxa"/>
            <w:tcBorders>
              <w:top w:val="nil"/>
              <w:left w:val="nil"/>
              <w:bottom w:val="single" w:color="auto" w:sz="4" w:space="0"/>
              <w:right w:val="nil"/>
            </w:tcBorders>
            <w:noWrap/>
            <w:vAlign w:val="center"/>
          </w:tcPr>
          <w:p w14:paraId="5B91CA55">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2.10</w:t>
            </w:r>
          </w:p>
        </w:tc>
        <w:tc>
          <w:tcPr>
            <w:tcW w:w="710" w:type="dxa"/>
            <w:tcBorders>
              <w:top w:val="nil"/>
              <w:left w:val="nil"/>
              <w:bottom w:val="single" w:color="auto" w:sz="4" w:space="0"/>
              <w:right w:val="nil"/>
            </w:tcBorders>
            <w:noWrap/>
            <w:vAlign w:val="center"/>
          </w:tcPr>
          <w:p w14:paraId="030C14BF">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0.38</w:t>
            </w:r>
          </w:p>
        </w:tc>
        <w:tc>
          <w:tcPr>
            <w:tcW w:w="810" w:type="dxa"/>
            <w:tcBorders>
              <w:top w:val="nil"/>
              <w:left w:val="nil"/>
              <w:bottom w:val="single" w:color="auto" w:sz="4" w:space="0"/>
              <w:right w:val="nil"/>
            </w:tcBorders>
            <w:noWrap/>
            <w:vAlign w:val="center"/>
          </w:tcPr>
          <w:p w14:paraId="01848C27">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0.25</w:t>
            </w:r>
          </w:p>
        </w:tc>
        <w:tc>
          <w:tcPr>
            <w:tcW w:w="810" w:type="dxa"/>
            <w:tcBorders>
              <w:top w:val="nil"/>
              <w:left w:val="nil"/>
              <w:bottom w:val="single" w:color="auto" w:sz="4" w:space="0"/>
              <w:right w:val="nil"/>
            </w:tcBorders>
            <w:noWrap/>
            <w:vAlign w:val="center"/>
          </w:tcPr>
          <w:p w14:paraId="55016074">
            <w:pPr>
              <w:widowControl/>
              <w:spacing w:line="300" w:lineRule="auto"/>
              <w:jc w:val="right"/>
              <w:textAlignment w:val="center"/>
              <w:rPr>
                <w:rFonts w:ascii="Times New Roman Regular" w:hAnsi="Times New Roman Regular" w:eastAsia="宋体" w:cs="Times New Roman Regular"/>
                <w:color w:val="0000FF"/>
                <w:sz w:val="18"/>
                <w:szCs w:val="18"/>
              </w:rPr>
            </w:pPr>
            <w:r>
              <w:rPr>
                <w:rFonts w:hint="eastAsia" w:ascii="Times New Roman Regular" w:hAnsi="Times New Roman Regular" w:eastAsia="宋体" w:cs="Times New Roman Regular"/>
                <w:color w:val="0000FF"/>
                <w:sz w:val="18"/>
                <w:szCs w:val="18"/>
              </w:rPr>
              <w:t>0.77</w:t>
            </w:r>
          </w:p>
        </w:tc>
      </w:tr>
    </w:tbl>
    <w:p w14:paraId="3A6255F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Standardized multivariate boxplots</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Fig.1</w:t>
      </w:r>
      <w:r>
        <w:rPr>
          <w:rFonts w:hint="default" w:ascii="Times New Roman Regular" w:hAnsi="Times New Roman Regular" w:cs="Times New Roman Regular"/>
          <w:color w:val="0000FF"/>
          <w:lang w:val="en-US"/>
        </w:rPr>
        <w:t>2</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 visually confirm that the median, interquartile range (IQR), whisker length, and outlier distribution of the virtual data for each period were highly similar to the measured data, demonstrating that the central tendency and dispersion characteristics were well-preserved. Hydrological seasonal characteristics, such as high EC/TDS/Cl</w:t>
      </w:r>
      <w:r>
        <w:rPr>
          <w:rFonts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dry season and low, concentrated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in the wet season, were also accurately preserved. Although the number of some newly added outliers slightly increased, they all fell within physically reasonable ranges, with no non-physical solutions, such as negative concentrations or out-of-bounds pH values, occurring. </w:t>
      </w:r>
      <w:r>
        <w:rPr>
          <w:rFonts w:ascii="Times New Roman Regular" w:hAnsi="Times New Roman Regular" w:cs="Times New Roman Regular"/>
          <w:color w:val="0000FF"/>
        </w:rPr>
        <w:t>Fig.1</w:t>
      </w:r>
      <w:r>
        <w:rPr>
          <w:rFonts w:hint="default" w:ascii="Times New Roman Regular" w:hAnsi="Times New Roman Regular" w:cs="Times New Roman Regular"/>
          <w:color w:val="0000FF"/>
          <w:lang w:val="en-US"/>
        </w:rPr>
        <w:t>3</w:t>
      </w:r>
      <w:r>
        <w:rPr>
          <w:rFonts w:hint="eastAsia" w:ascii="Times New Roman Regular" w:hAnsi="Times New Roman Regular" w:cs="Times New Roman Regular"/>
          <w:color w:val="0000FF"/>
        </w:rPr>
        <w:t xml:space="preserve"> presents a comparison of nitrate concentration frequency distributions between the original and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 xml:space="preserve">datasets across normal, dry, and wet periods. The distributional comparison indicates that the proposed t-SNE + GMM + KNN inverse mapping </w:t>
      </w:r>
      <w:r>
        <w:rPr>
          <w:rFonts w:hint="default" w:ascii="Times New Roman Regular" w:hAnsi="Times New Roman Regular" w:cs="Times New Roman Regular"/>
          <w:color w:val="0000FF"/>
          <w:lang w:val="en-US"/>
        </w:rPr>
        <w:t xml:space="preserve">virtual </w:t>
      </w:r>
      <w:r>
        <w:rPr>
          <w:rFonts w:hint="eastAsia" w:ascii="Times New Roman Regular" w:hAnsi="Times New Roman Regular" w:cs="Times New Roman Regular"/>
          <w:color w:val="0000FF"/>
        </w:rPr>
        <w:t>sample generation strategy maintains the core features of the NO</w:t>
      </w:r>
      <w:r>
        <w:rPr>
          <w:rFonts w:hint="eastAsia"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distribution for each hydrological period, while simultaneously improving sample representation in sparse areas and intervals of high variability. Therefore, the t-SNE + GMM method effectively captured the non-linear structure and extreme value information of the original data, and can provide reliable data support for subsequent model training.</w:t>
      </w:r>
    </w:p>
    <w:p w14:paraId="5C19B978">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72405" cy="6752590"/>
            <wp:effectExtent l="0" t="0" r="10795" b="3810"/>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5"/>
                    <a:stretch>
                      <a:fillRect/>
                    </a:stretch>
                  </pic:blipFill>
                  <pic:spPr>
                    <a:xfrm>
                      <a:off x="0" y="0"/>
                      <a:ext cx="5272405" cy="6752590"/>
                    </a:xfrm>
                    <a:prstGeom prst="rect">
                      <a:avLst/>
                    </a:prstGeom>
                    <a:noFill/>
                    <a:ln>
                      <a:noFill/>
                    </a:ln>
                  </pic:spPr>
                </pic:pic>
              </a:graphicData>
            </a:graphic>
          </wp:inline>
        </w:drawing>
      </w:r>
    </w:p>
    <w:p w14:paraId="221C77FD">
      <w:pPr>
        <w:keepNext w:val="0"/>
        <w:keepLines w:val="0"/>
        <w:pageBreakBefore w:val="0"/>
        <w:widowControl w:val="0"/>
        <w:kinsoku/>
        <w:wordWrap/>
        <w:overflowPunct/>
        <w:topLinePunct w:val="0"/>
        <w:autoSpaceDE/>
        <w:autoSpaceDN/>
        <w:bidi w:val="0"/>
        <w:adjustRightInd/>
        <w:snapToGrid/>
        <w:spacing w:line="300" w:lineRule="auto"/>
        <w:jc w:val="center"/>
        <w:textAlignment w:val="auto"/>
        <w:rPr>
          <w:rFonts w:hint="default"/>
          <w:color w:val="0000FF"/>
          <w:lang w:val="en-US" w:eastAsia="zh-CN"/>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2</w:t>
      </w:r>
      <w:r>
        <w:rPr>
          <w:rFonts w:ascii="Times New Roman Regular" w:hAnsi="Times New Roman Regular" w:cs="Times New Roman Regular"/>
          <w:color w:val="0000FF"/>
        </w:rPr>
        <w:t>. Box plots of the observed and virtual variable data</w:t>
      </w:r>
      <w:r>
        <w:rPr>
          <w:rFonts w:hint="eastAsia" w:ascii="Times New Roman Regular" w:hAnsi="Times New Roman Regular" w:cs="Times New Roman Regular"/>
          <w:color w:val="0000FF"/>
        </w:rPr>
        <w:t xml:space="preserve"> at different periods</w:t>
      </w:r>
      <w:r>
        <w:rPr>
          <w:rFonts w:ascii="Times New Roman Regular" w:hAnsi="Times New Roman Regular" w:cs="Times New Roman Regular"/>
          <w:color w:val="0000FF"/>
        </w:rPr>
        <w:t>.</w:t>
      </w:r>
    </w:p>
    <w:p w14:paraId="3B0B0392">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64150" cy="1317625"/>
            <wp:effectExtent l="0" t="0" r="19050" b="3175"/>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8"/>
                    <pic:cNvPicPr>
                      <a:picLocks noChangeAspect="1"/>
                    </pic:cNvPicPr>
                  </pic:nvPicPr>
                  <pic:blipFill>
                    <a:blip r:embed="rId6"/>
                    <a:stretch>
                      <a:fillRect/>
                    </a:stretch>
                  </pic:blipFill>
                  <pic:spPr>
                    <a:xfrm>
                      <a:off x="0" y="0"/>
                      <a:ext cx="5264150" cy="1317625"/>
                    </a:xfrm>
                    <a:prstGeom prst="rect">
                      <a:avLst/>
                    </a:prstGeom>
                    <a:noFill/>
                    <a:ln>
                      <a:noFill/>
                    </a:ln>
                  </pic:spPr>
                </pic:pic>
              </a:graphicData>
            </a:graphic>
          </wp:inline>
        </w:drawing>
      </w:r>
    </w:p>
    <w:p w14:paraId="5FBB2BE0">
      <w:pPr>
        <w:spacing w:line="300" w:lineRule="auto"/>
        <w:jc w:val="center"/>
        <w:rPr>
          <w:rFonts w:ascii="Times New Roman Regular" w:hAnsi="Times New Roman Regular" w:cs="Times New Roman Regular"/>
          <w:color w:val="0000FF"/>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3</w:t>
      </w:r>
      <w:r>
        <w:rPr>
          <w:rFonts w:ascii="Times New Roman Regular" w:hAnsi="Times New Roman Regular" w:cs="Times New Roman Regular"/>
          <w:color w:val="0000FF"/>
        </w:rPr>
        <w:t>. Comparison of nitrate concentration distribution in the original and virtual datasets under different periods.</w:t>
      </w:r>
    </w:p>
    <w:p w14:paraId="6DABD654">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Kolmogorov-Smirnov (KS) test results indicate that the dry season exhibited the lowest mean KS statistic (0.1214±0.0387), with 80.0% of the features falling below the strict threshold of 0.15</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Fig. S1)</w:t>
      </w:r>
      <w:r>
        <w:rPr>
          <w:rFonts w:hint="default" w:ascii="Times New Roman Regular" w:hAnsi="Times New Roman Regular" w:cs="Times New Roman Regular"/>
          <w:color w:val="0000FF"/>
        </w:rPr>
        <w:t>. This demonstrates that the virtual samples during this period highly reproduced the distribution characteristics of the observed data. The normal season followed, with a mean KS statistic of 0.1278±0.0356, where 72.5% of the features had KS values below 0.15. The distribution similarity during the wet season was relatively lower, characterized by a mean KS statistic of 0.1657 ± 0.0542; although 37.5% of the features had KS values below 0.15, 70.0% still satisfied the acceptable criterion of KS&lt;0.20. The P-values from the KS test provided a quantitative assessment of the statistical significance regarding distributional differences. When P &gt; 0.05, the null hypothesis could not be rejected, indicating no significant difference between the distributions of the virtual and observed samples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S2 &amp; Fig.14)</w:t>
      </w:r>
      <w:r>
        <w:rPr>
          <w:rFonts w:hint="default" w:ascii="Times New Roman Regular" w:hAnsi="Times New Roman Regular" w:cs="Times New Roman Regular"/>
          <w:color w:val="0000FF"/>
        </w:rPr>
        <w:t>. Jensen-Shannon (JS) divergence analysis further corroborated these findings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15)</w:t>
      </w:r>
      <w:r>
        <w:rPr>
          <w:rFonts w:hint="default" w:ascii="Times New Roman Regular" w:hAnsi="Times New Roman Regular" w:cs="Times New Roman Regular"/>
          <w:color w:val="0000FF"/>
        </w:rPr>
        <w:t>. The mean JS divergence across all three hydrological periods remained below the threshold of 0.05, demonstrating high consistency with the original distributions. These low JS divergence values indicate that the probability distributions of the synthetic samples closely approximated the observed data, with no significant distributional shift observed. Notably, the JS divergence values for Salt and 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xml:space="preserve"> were relatively higher across all hydrological periods. Evaluation results using the Maximum Mean Discrepancy (MMD) showed that MMD values approaching zero and remaining within the confidence interval indicate no significant distributional differences between the synthetic and observed data in the Reproducing Kernel Hilbert Space (RKHS), confirming that the virtual samples introduced no systematic bias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16)</w:t>
      </w:r>
      <w:r>
        <w:rPr>
          <w:rFonts w:hint="default" w:ascii="Times New Roman Regular" w:hAnsi="Times New Roman Regular" w:cs="Times New Roman Regular"/>
          <w:color w:val="0000FF"/>
        </w:rPr>
        <w:t>.</w:t>
      </w:r>
    </w:p>
    <w:p w14:paraId="02C18ACC">
      <w:pPr>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color w:val="0000FF"/>
        </w:rPr>
      </w:pPr>
      <w:r>
        <w:rPr>
          <w:color w:val="0000FF"/>
        </w:rPr>
        <w:drawing>
          <wp:inline distT="0" distB="0" distL="114300" distR="114300">
            <wp:extent cx="5271135" cy="3485515"/>
            <wp:effectExtent l="0" t="0" r="12065" b="1968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a:off x="0" y="0"/>
                      <a:ext cx="5271135" cy="3485515"/>
                    </a:xfrm>
                    <a:prstGeom prst="rect">
                      <a:avLst/>
                    </a:prstGeom>
                    <a:noFill/>
                    <a:ln>
                      <a:noFill/>
                    </a:ln>
                  </pic:spPr>
                </pic:pic>
              </a:graphicData>
            </a:graphic>
          </wp:inline>
        </w:drawing>
      </w:r>
    </w:p>
    <w:p w14:paraId="7AF388F5">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Fig.14</w:t>
      </w:r>
      <w:r>
        <w:rPr>
          <w:rFonts w:hint="default" w:ascii="Times New Roman Regular" w:hAnsi="Times New Roman Regular" w:cs="Times New Roman Regular"/>
          <w:color w:val="0000FF"/>
          <w:lang w:val="en-US"/>
        </w:rPr>
        <w:t>. Comparison of mean KS P-value under different sample generation factors during normal, dry, and wet seasons.</w:t>
      </w:r>
    </w:p>
    <w:p w14:paraId="6533954E">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color w:val="0000FF"/>
        </w:rPr>
      </w:pPr>
      <w:r>
        <w:rPr>
          <w:color w:val="0000FF"/>
        </w:rPr>
        <w:drawing>
          <wp:inline distT="0" distB="0" distL="114300" distR="114300">
            <wp:extent cx="5262245" cy="1723390"/>
            <wp:effectExtent l="0" t="0" r="20955" b="381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5262245" cy="1723390"/>
                    </a:xfrm>
                    <a:prstGeom prst="rect">
                      <a:avLst/>
                    </a:prstGeom>
                    <a:noFill/>
                    <a:ln>
                      <a:noFill/>
                    </a:ln>
                  </pic:spPr>
                </pic:pic>
              </a:graphicData>
            </a:graphic>
          </wp:inline>
        </w:drawing>
      </w:r>
    </w:p>
    <w:p w14:paraId="20930740">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Fig.15</w:t>
      </w:r>
      <w:r>
        <w:rPr>
          <w:rFonts w:hint="default" w:ascii="Times New Roman Regular" w:hAnsi="Times New Roman Regular" w:cs="Times New Roman Regular"/>
          <w:color w:val="0000FF"/>
          <w:lang w:val="en-US"/>
        </w:rPr>
        <w:t>. Boxplots of JS Divergence for Water Quality Features across Different Seasons.</w:t>
      </w:r>
    </w:p>
    <w:p w14:paraId="525E763A">
      <w:pPr>
        <w:keepNext w:val="0"/>
        <w:keepLines w:val="0"/>
        <w:pageBreakBefore w:val="0"/>
        <w:widowControl w:val="0"/>
        <w:kinsoku/>
        <w:wordWrap/>
        <w:overflowPunct/>
        <w:topLinePunct w:val="0"/>
        <w:autoSpaceDE/>
        <w:autoSpaceDN/>
        <w:bidi w:val="0"/>
        <w:adjustRightInd/>
        <w:snapToGrid/>
        <w:spacing w:line="300" w:lineRule="auto"/>
        <w:ind w:firstLine="0" w:firstLineChars="0"/>
        <w:jc w:val="both"/>
        <w:textAlignment w:val="auto"/>
        <w:rPr>
          <w:rFonts w:hint="default" w:ascii="Times New Roman Regular" w:hAnsi="Times New Roman Regular" w:cs="Times New Roman Regular"/>
          <w:color w:val="0000FF"/>
          <w:lang w:val="en-US"/>
        </w:rPr>
      </w:pPr>
      <w:r>
        <w:rPr>
          <w:color w:val="0000FF"/>
        </w:rPr>
        <w:drawing>
          <wp:inline distT="0" distB="0" distL="114300" distR="114300">
            <wp:extent cx="5262880" cy="3379470"/>
            <wp:effectExtent l="0" t="0" r="20320" b="2413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5262880" cy="3379470"/>
                    </a:xfrm>
                    <a:prstGeom prst="rect">
                      <a:avLst/>
                    </a:prstGeom>
                    <a:noFill/>
                    <a:ln>
                      <a:noFill/>
                    </a:ln>
                  </pic:spPr>
                </pic:pic>
              </a:graphicData>
            </a:graphic>
          </wp:inline>
        </w:drawing>
      </w:r>
    </w:p>
    <w:p w14:paraId="6A079B24">
      <w:pPr>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Fig.16</w:t>
      </w:r>
      <w:r>
        <w:rPr>
          <w:rFonts w:hint="default" w:ascii="Times New Roman Regular" w:hAnsi="Times New Roman Regular" w:cs="Times New Roman Regular"/>
          <w:color w:val="0000FF"/>
          <w:lang w:val="en-US"/>
        </w:rPr>
        <w:t>. The variation of maximum mean difference (MMD) with sample generation factor in different seasons.</w:t>
      </w:r>
    </w:p>
    <w:p w14:paraId="68F96F9B">
      <w:pPr>
        <w:spacing w:line="300" w:lineRule="auto"/>
        <w:ind w:firstLine="420"/>
        <w:jc w:val="both"/>
        <w:rPr>
          <w:rFonts w:hint="eastAsia" w:ascii="Times New Roman Regular" w:hAnsi="Times New Roman Regular" w:cs="Times New Roman Regular"/>
          <w:color w:val="0000FF"/>
        </w:rPr>
      </w:pPr>
      <w:r>
        <w:rPr>
          <w:rFonts w:hint="default" w:ascii="Times New Roman Regular" w:hAnsi="Times New Roman Regular" w:cs="Times New Roman Regular"/>
          <w:color w:val="0000FF"/>
        </w:rPr>
        <w:t>Analysis of the impact of sample generation multipliers revealed that a multiplier of 7 to 10 times yielded the optimal performance across all hydrological periods. Within this range, both KS statistics and JS divergence remained at low levels with minimal fluctuation, indicating the most stable distribution similarity. In contrast, sample generation with multipliers of 1 to 3 times exhibited larger fluctuations in some indicators, demonstrating insufficient stability. Based on a comprehensive evaluation, this study recommends adopting a sample generation multiplier of at least 7 to ensure the quality of virtual samples. Feature-level analysis revealed the response characteristics of different water quality parameters to the data augmentation strategy. The KS statistics for ORP, Temperature, and EC were generally low (mean&lt;0.12), indicating excellent performance in virtual sample generation for these features. In contrast, Salt,</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NO</w:t>
      </w:r>
      <w:r>
        <w:rPr>
          <w:rFonts w:hint="default" w:ascii="Times New Roman Regular" w:hAnsi="Times New Roman Regular" w:cs="Times New Roman Regular"/>
          <w:color w:val="0000FF"/>
          <w:vertAlign w:val="subscript"/>
        </w:rPr>
        <w:t>3</w:t>
      </w:r>
      <w:r>
        <w:rPr>
          <w:rFonts w:hint="eastAsia" w:ascii="Times New Roman Regular" w:hAnsi="Times New Roman Regular" w:cs="Times New Roman Regular"/>
          <w:color w:val="0000FF"/>
          <w:vertAlign w:val="superscript"/>
          <w:lang w:val="en-US" w:eastAsia="zh-CN"/>
        </w:rPr>
        <w:t>-</w:t>
      </w:r>
      <w:r>
        <w:rPr>
          <w:rFonts w:hint="default" w:ascii="Times New Roman Regular" w:hAnsi="Times New Roman Regular" w:cs="Times New Roman Regular"/>
          <w:color w:val="0000FF"/>
        </w:rPr>
        <w:t>, and TDS exhibited relatively higher KS statistics (mean&gt;0.18). Nevertheless, the MMD values for all features remained within the confidence interval, suggesting that even for features with high KS values, the virtual samples did not introduce significant distributional bias. These diagnostics confirm that the t-SNE-GMM-KNN strategy effectively mitigates small sample bias without introducing systematic distributional distortion.</w:t>
      </w:r>
    </w:p>
    <w:p w14:paraId="5332B684">
      <w:pPr>
        <w:spacing w:line="300" w:lineRule="auto"/>
        <w:rPr>
          <w:rFonts w:ascii="Times New Roman Regular" w:hAnsi="Times New Roman Regular" w:cs="Times New Roman Regular"/>
          <w:color w:val="0000FF"/>
        </w:rPr>
      </w:pPr>
    </w:p>
    <w:p w14:paraId="5B90C2F0">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3.4.2 Prediction based on on-site measured water quality data</w:t>
      </w:r>
    </w:p>
    <w:p w14:paraId="5B935AFC">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During the normal season, the 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rPr>
        <w:t xml:space="preserve"> values for the baseline Random Forest and the quantum-enhanced RF models were 0.6727 and 0.6602, respectively, with bootstrap 95% confidence intervals of [0.6668, 0.8640] and [0.6929, 0.9110], indicating relatively wide uncertainty ranges due to limited sample size</w:t>
      </w:r>
      <w:r>
        <w:rPr>
          <w:rFonts w:ascii="Times New Roman Regular" w:hAnsi="Times New Roman Regular" w:cs="Times New Roman Regular"/>
          <w:color w:val="0000FF"/>
        </w:rPr>
        <w:t xml:space="preserve"> (</w:t>
      </w:r>
      <w:r>
        <w:rPr>
          <w:rFonts w:ascii="Times New Roman Regular" w:hAnsi="Times New Roman Regular" w:cs="Times New Roman Regular"/>
          <w:color w:val="0000FF"/>
        </w:rPr>
        <w:t xml:space="preserve">Table </w:t>
      </w:r>
      <w:r>
        <w:rPr>
          <w:rFonts w:hint="eastAsia" w:ascii="Times New Roman Regular" w:hAnsi="Times New Roman Regular" w:cs="Times New Roman Regular"/>
          <w:color w:val="0000FF"/>
          <w:lang w:val="en-US" w:eastAsia="zh-CN"/>
        </w:rPr>
        <w:t>S1</w:t>
      </w:r>
      <w:r>
        <w:rPr>
          <w:rFonts w:ascii="Times New Roman Regular" w:hAnsi="Times New Roman Regular" w:cs="Times New Roman Regular"/>
          <w:color w:val="0000FF"/>
        </w:rPr>
        <w:t>). As the number of virtual samples was increased from 1-fold to 10-fold the size of the original dataset,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of both models steadily improved to above 0.958, with the quantum-enhanced RF model performing better and ultimately achieving an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of 0.9622. </w:t>
      </w:r>
      <w:r>
        <w:rPr>
          <w:rFonts w:hint="eastAsia" w:ascii="Times New Roman Regular" w:hAnsi="Times New Roman Regular" w:cs="Times New Roman Regular"/>
          <w:color w:val="0000FF"/>
        </w:rPr>
        <w:t xml:space="preserve">Bootstrap analysis confirmed the robustness of this performance, yielding a narrowed 95% CI of [0.9744, 0.9881] at 10-fold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indicating substantially reduced variance in model accuracy.</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When the number of virtual samples exceeded 500, the performance gains began to plateau. For the dry season, the modeling performance with the original data was the poorest, which is correlated with the high variability of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concentrations during this period </w:t>
      </w:r>
      <w:r>
        <w:rPr>
          <w:rFonts w:hint="eastAsia" w:ascii="Times New Roman Regular" w:hAnsi="Times New Roman Regular" w:cs="Times New Roman Regular"/>
          <w:color w:val="0000FF"/>
        </w:rPr>
        <w:t>(R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rPr>
        <w:t>=0.2841, 95% CI: [0.2884, 0.7276]; Table S2)</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 xml:space="preserve">Table </w:t>
      </w:r>
      <w:r>
        <w:rPr>
          <w:rFonts w:hint="eastAsia" w:ascii="Times New Roman Regular" w:hAnsi="Times New Roman Regular" w:cs="Times New Roman Regular"/>
          <w:color w:val="0000FF"/>
          <w:lang w:val="en-US" w:eastAsia="zh-CN"/>
        </w:rPr>
        <w:t>S2</w:t>
      </w:r>
      <w:r>
        <w:rPr>
          <w:rFonts w:ascii="Times New Roman Regular" w:hAnsi="Times New Roman Regular" w:cs="Times New Roman Regular"/>
          <w:color w:val="0000FF"/>
        </w:rPr>
        <w:t xml:space="preserve">). This suggests that with a limited sample size, models are susceptible to interference from outliers, and a small number of measured samples is insufficient to support effective model learning. After introducing virtual samples, the model performance improved significantly. A mere 1-fold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of the sample size increased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to 0.527 (RF)</w:t>
      </w:r>
      <w:r>
        <w:rPr>
          <w:rFonts w:hint="eastAsia" w:ascii="Times New Roman Regular" w:hAnsi="Times New Roman Regular" w:cs="Times New Roman Regular"/>
          <w:color w:val="0000FF"/>
          <w:lang w:val="en-US" w:eastAsia="zh-CN"/>
        </w:rPr>
        <w:t xml:space="preserve"> (95% CI: [0.4760, 0.8160])</w:t>
      </w:r>
      <w:r>
        <w:rPr>
          <w:rFonts w:ascii="Times New Roman Regular" w:hAnsi="Times New Roman Regular" w:cs="Times New Roman Regular"/>
          <w:color w:val="0000FF"/>
        </w:rPr>
        <w:t>. When augmented to 8-fold,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reached 0.854</w:t>
      </w:r>
      <w:r>
        <w:rPr>
          <w:rFonts w:hint="eastAsia" w:ascii="Times New Roman Regular" w:hAnsi="Times New Roman Regular" w:cs="Times New Roman Regular"/>
          <w:color w:val="0000FF"/>
          <w:lang w:val="en-US" w:eastAsia="zh-CN"/>
        </w:rPr>
        <w:t xml:space="preserve"> (95% CI: [0.8431, 0.9221])</w:t>
      </w:r>
      <w:r>
        <w:rPr>
          <w:rFonts w:ascii="Times New Roman Regular" w:hAnsi="Times New Roman Regular" w:cs="Times New Roman Regular"/>
          <w:color w:val="0000FF"/>
        </w:rPr>
        <w:t xml:space="preserve">. Although the quantum-enhanced model slightly underperformed the classical RF in the initial stages (≤2-fold </w:t>
      </w:r>
      <w:r>
        <w:rPr>
          <w:rFonts w:hint="default" w:ascii="Times New Roman Regular" w:hAnsi="Times New Roman Regular" w:cs="Times New Roman Regular"/>
          <w:color w:val="0000FF"/>
          <w:lang w:val="en-US"/>
        </w:rPr>
        <w:t>generation</w:t>
      </w:r>
      <w:r>
        <w:rPr>
          <w:rFonts w:ascii="Times New Roman Regular" w:hAnsi="Times New Roman Regular" w:cs="Times New Roman Regular"/>
          <w:color w:val="0000FF"/>
        </w:rPr>
        <w:t xml:space="preserve">), their performances converged at higher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levels, both achieving high accuracy. This indicates that virtual samples effectively mitigated the modeling challenges posed by data sparsity and skewed distributions. In contrast, the modeling performance with original data was optimal during the wet season, attributed to the generally lower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concentrations and their smaller spatial variability </w:t>
      </w:r>
      <w:r>
        <w:rPr>
          <w:rFonts w:hint="eastAsia" w:ascii="Times New Roman Regular" w:hAnsi="Times New Roman Regular" w:cs="Times New Roman Regular"/>
          <w:color w:val="0000FF"/>
        </w:rPr>
        <w:t>(R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rPr>
        <w:t>=0.7331, 95% CI: [0.6715, 0.8926])</w:t>
      </w:r>
      <w:r>
        <w:rPr>
          <w:rFonts w:hint="eastAsia" w:ascii="Times New Roman Regular" w:hAnsi="Times New Roman Regular" w:cs="Times New Roman Regular"/>
          <w:color w:val="0000FF"/>
          <w:lang w:val="en-US" w:eastAsia="zh-CN"/>
        </w:rPr>
        <w:t xml:space="preserve"> </w:t>
      </w:r>
      <w:r>
        <w:rPr>
          <w:rFonts w:ascii="Times New Roman Regular" w:hAnsi="Times New Roman Regular" w:cs="Times New Roman Regular"/>
          <w:color w:val="0000FF"/>
        </w:rPr>
        <w:t>(</w:t>
      </w:r>
      <w:r>
        <w:rPr>
          <w:rFonts w:ascii="Times New Roman Regular" w:hAnsi="Times New Roman Regular" w:cs="Times New Roman Regular"/>
          <w:color w:val="0000FF"/>
        </w:rPr>
        <w:t xml:space="preserve">Table </w:t>
      </w:r>
      <w:r>
        <w:rPr>
          <w:rFonts w:hint="eastAsia" w:ascii="Times New Roman Regular" w:hAnsi="Times New Roman Regular" w:cs="Times New Roman Regular"/>
          <w:color w:val="0000FF"/>
          <w:lang w:val="en-US" w:eastAsia="zh-CN"/>
        </w:rPr>
        <w:t>S3</w:t>
      </w:r>
      <w:r>
        <w:rPr>
          <w:rFonts w:ascii="Times New Roman Regular" w:hAnsi="Times New Roman Regular" w:cs="Times New Roman Regular"/>
          <w:color w:val="0000FF"/>
        </w:rPr>
        <w:t xml:space="preserve">). The use of virtual samples further elevated the prediction accuracy to an exceptionally high level. A 4-fold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yielded an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of 0.962</w:t>
      </w:r>
      <w:r>
        <w:rPr>
          <w:rFonts w:hint="eastAsia" w:ascii="Times New Roman Regular" w:hAnsi="Times New Roman Regular" w:cs="Times New Roman Regular"/>
          <w:color w:val="0000FF"/>
          <w:lang w:val="en-US" w:eastAsia="zh-CN"/>
        </w:rPr>
        <w:t xml:space="preserve"> (95% CI: [0.9607, 0.9804])</w:t>
      </w:r>
      <w:r>
        <w:rPr>
          <w:rFonts w:ascii="Times New Roman Regular" w:hAnsi="Times New Roman Regular" w:cs="Times New Roman Regular"/>
          <w:color w:val="0000FF"/>
        </w:rPr>
        <w:t xml:space="preserve">. After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to 10-fold,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of the RF model stabilized at 0.977, with the RMSE dropping to as low as 3.03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vertAlign w:val="baseline"/>
          <w:lang w:val="en-US" w:eastAsia="zh-CN"/>
        </w:rPr>
        <w:t xml:space="preserve"> (95% CI for 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vertAlign w:val="baseline"/>
          <w:lang w:val="en-US" w:eastAsia="zh-CN"/>
        </w:rPr>
        <w:t>: [0.9787, 0.9875])</w:t>
      </w:r>
      <w:r>
        <w:rPr>
          <w:rFonts w:ascii="Times New Roman Regular" w:hAnsi="Times New Roman Regular" w:cs="Times New Roman Regular"/>
          <w:color w:val="0000FF"/>
        </w:rPr>
        <w:t>. The overall performance of the quantum-enhanced RF was consistent with the classical RF, with only slight fluctuations within a very small error range, showing that when data quality is high and the relationships are more linear, the marginal gains from quantum feature encoding are limited.</w:t>
      </w:r>
    </w:p>
    <w:p w14:paraId="21498DE9">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During the </w:t>
      </w:r>
      <w:r>
        <w:rPr>
          <w:rFonts w:ascii="Times New Roman Regular" w:hAnsi="Times New Roman Regular" w:cs="Times New Roman Regular"/>
          <w:color w:val="0000FF"/>
        </w:rPr>
        <w:t xml:space="preserve">normal </w:t>
      </w:r>
      <w:r>
        <w:rPr>
          <w:rFonts w:hint="eastAsia" w:ascii="Times New Roman Regular" w:hAnsi="Times New Roman Regular" w:cs="Times New Roman Regular"/>
          <w:color w:val="0000FF"/>
        </w:rPr>
        <w:t xml:space="preserve">season, as illustrated in </w:t>
      </w:r>
      <w:r>
        <w:rPr>
          <w:rFonts w:hint="eastAsia" w:ascii="Times New Roman Regular" w:hAnsi="Times New Roman Regular" w:cs="Times New Roman Regular"/>
          <w:color w:val="0000FF"/>
        </w:rPr>
        <w:t xml:space="preserve">Fig. </w:t>
      </w:r>
      <w:r>
        <w:rPr>
          <w:rFonts w:ascii="Times New Roman Regular" w:hAnsi="Times New Roman Regular" w:cs="Times New Roman Regular"/>
          <w:color w:val="0000FF"/>
        </w:rPr>
        <w:t>1</w:t>
      </w:r>
      <w:r>
        <w:rPr>
          <w:rFonts w:hint="default" w:ascii="Times New Roman Regular" w:hAnsi="Times New Roman Regular" w:cs="Times New Roman Regular"/>
          <w:color w:val="0000FF"/>
          <w:lang w:val="en-US"/>
        </w:rPr>
        <w:t>7</w:t>
      </w:r>
      <w:r>
        <w:rPr>
          <w:rFonts w:hint="eastAsia" w:ascii="Times New Roman Regular" w:hAnsi="Times New Roman Regular" w:cs="Times New Roman Regular"/>
          <w:color w:val="0000FF"/>
        </w:rPr>
        <w:t>(A1)</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(A2), </w:t>
      </w:r>
      <w:r>
        <w:rPr>
          <w:rFonts w:ascii="Times New Roman Regular" w:hAnsi="Times New Roman Regular" w:cs="Times New Roman Regular"/>
          <w:color w:val="0000FF"/>
        </w:rPr>
        <w:t xml:space="preserve">a </w:t>
      </w:r>
      <w:r>
        <w:rPr>
          <w:rFonts w:hint="eastAsia" w:ascii="Times New Roman Regular" w:hAnsi="Times New Roman Regular" w:cs="Times New Roman Regular"/>
          <w:color w:val="0000FF"/>
        </w:rPr>
        <w:t xml:space="preserve">deviation </w:t>
      </w:r>
      <w:r>
        <w:rPr>
          <w:rFonts w:ascii="Times New Roman Regular" w:hAnsi="Times New Roman Regular" w:cs="Times New Roman Regular"/>
          <w:color w:val="0000FF"/>
        </w:rPr>
        <w:t xml:space="preserve">was </w:t>
      </w:r>
      <w:r>
        <w:rPr>
          <w:rFonts w:hint="eastAsia" w:ascii="Times New Roman Regular" w:hAnsi="Times New Roman Regular" w:cs="Times New Roman Regular"/>
          <w:color w:val="0000FF"/>
        </w:rPr>
        <w:t xml:space="preserve">observed between the predicted and observed values for both models when utilizing only the 66 original samples. The prediction results exhibited high dispersion, and the median deviated markedly from the observed median. This is consistent with the low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values, indicating errors inherent in small-sample modeling. With an increase in the number of virtual samples, the distribution of predicted values gradually converged towards the observed values, and the interquartile range (IQR) and whiskers of the boxplots progressively narrowed, indicating a substantial enhancement in model stability and accuracy. When the virtual samples were expanded tenfold (to 660 virtual samples), the boxplots of the predicted values highly overlapped with those of the observed values, consistent with the reduction of the RMSE to 6.02 mg L</w:t>
      </w:r>
      <w:r>
        <w:rPr>
          <w:rFonts w:hint="eastAsia"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In the final stage, the quantum-enhanced model slightly outperformed the classical RF model, achieving an R</w:t>
      </w:r>
      <w:r>
        <w:rPr>
          <w:rFonts w:hint="eastAsia"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of 0.9622. Bootstrap analysis confirmed the robustness of this performance, yielding a 95% confidence interval for </w:t>
      </w:r>
      <w:r>
        <w:rPr>
          <w:rFonts w:hint="eastAsia" w:ascii="Times New Roman Regular" w:hAnsi="Times New Roman Regular" w:cs="Times New Roman Regular"/>
          <w:color w:val="0000FF"/>
          <w:lang w:val="en-US" w:eastAsia="zh-CN"/>
        </w:rPr>
        <w:t>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rPr>
        <w:t xml:space="preserve"> of [0.9744, 0.9881], indicating low variance in model accuracy despite the small original sample size.</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In the dry season </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Fig. </w:t>
      </w:r>
      <w:r>
        <w:rPr>
          <w:rFonts w:ascii="Times New Roman Regular" w:hAnsi="Times New Roman Regular" w:cs="Times New Roman Regular"/>
          <w:color w:val="0000FF"/>
        </w:rPr>
        <w:t>1</w:t>
      </w:r>
      <w:r>
        <w:rPr>
          <w:rFonts w:hint="default" w:ascii="Times New Roman Regular" w:hAnsi="Times New Roman Regular" w:cs="Times New Roman Regular"/>
          <w:color w:val="0000FF"/>
          <w:lang w:val="en-US"/>
        </w:rPr>
        <w:t>7</w:t>
      </w:r>
      <w:r>
        <w:rPr>
          <w:rFonts w:hint="eastAsia" w:ascii="Times New Roman Regular" w:hAnsi="Times New Roman Regular" w:cs="Times New Roman Regular"/>
          <w:color w:val="0000FF"/>
        </w:rPr>
        <w:t>(B1)</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(B2)</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on the original dataset, the predicted values from both models were generally overestimated due to the extremely high and skewed distribution of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hint="eastAsia" w:ascii="Times New Roman Regular" w:hAnsi="Times New Roman Regular" w:cs="Times New Roman Regular"/>
          <w:color w:val="0000FF"/>
        </w:rPr>
        <w:t xml:space="preserve"> concentrations. Consequently, the predicted boxplots were positioned entirely above the actual values, yielding an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of only 0.28</w:t>
      </w:r>
      <w:r>
        <w:rPr>
          <w:rFonts w:hint="eastAsia" w:ascii="Times New Roman Regular" w:hAnsi="Times New Roman Regular" w:cs="Times New Roman Regular"/>
          <w:color w:val="0000FF"/>
          <w:lang w:val="en-US" w:eastAsia="zh-CN"/>
        </w:rPr>
        <w:t xml:space="preserve"> (95% CI: [0.2884, 0.7276])</w:t>
      </w:r>
      <w:r>
        <w:rPr>
          <w:rFonts w:hint="eastAsia" w:ascii="Times New Roman Regular" w:hAnsi="Times New Roman Regular" w:cs="Times New Roman Regular"/>
          <w:color w:val="0000FF"/>
        </w:rPr>
        <w:t xml:space="preserve">. The introduction of virtual samples led to a substantial improvement in model performance. Starting from single-fold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xml:space="preserve">, the median and range of the predicted boxplots began to converge towards the observed values, at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levels of 8-fold and higher, the predicted values effectively captured the distributional characteristics of the high-concentration intervals</w:t>
      </w:r>
      <w:r>
        <w:rPr>
          <w:rFonts w:hint="default" w:ascii="Times New Roman Regular" w:hAnsi="Times New Roman Regular" w:cs="Times New Roman Regular"/>
          <w:color w:val="0000FF"/>
          <w:lang w:val="en-US"/>
        </w:rPr>
        <w:t>, with RF R</w:t>
      </w:r>
      <w:r>
        <w:rPr>
          <w:rFonts w:hint="default" w:ascii="Times New Roman Regular" w:hAnsi="Times New Roman Regular" w:cs="Times New Roman Regular"/>
          <w:color w:val="0000FF"/>
          <w:vertAlign w:val="superscript"/>
          <w:lang w:val="en-US"/>
        </w:rPr>
        <w:t>2</w:t>
      </w:r>
      <w:r>
        <w:rPr>
          <w:rFonts w:hint="default" w:ascii="Times New Roman Regular" w:hAnsi="Times New Roman Regular" w:cs="Times New Roman Regular"/>
          <w:color w:val="0000FF"/>
          <w:lang w:val="en-US"/>
        </w:rPr>
        <w:t xml:space="preserve"> reaching 0.8542 (95% CI: [0.8431, 0.9221]) at 9-fold generation</w:t>
      </w:r>
      <w:r>
        <w:rPr>
          <w:rFonts w:hint="eastAsia" w:ascii="Times New Roman Regular" w:hAnsi="Times New Roman Regular" w:cs="Times New Roman Regular"/>
          <w:color w:val="0000FF"/>
        </w:rPr>
        <w:t xml:space="preserve">. Although the classical RF model slightly outperformed the quantum-enhanced model at low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levels, their performances converged as the sample size further increased. This demonstrates that the virtual sample generation strategy effectively alleviates modeling challenges caused by data sparsity and extreme values.</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During the wet season</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 xml:space="preserve">Fig. </w:t>
      </w:r>
      <w:r>
        <w:rPr>
          <w:rFonts w:ascii="Times New Roman Regular" w:hAnsi="Times New Roman Regular" w:cs="Times New Roman Regular"/>
          <w:color w:val="0000FF"/>
        </w:rPr>
        <w:t>1</w:t>
      </w:r>
      <w:r>
        <w:rPr>
          <w:rFonts w:hint="default" w:ascii="Times New Roman Regular" w:hAnsi="Times New Roman Regular" w:cs="Times New Roman Regular"/>
          <w:color w:val="0000FF"/>
          <w:lang w:val="en-US"/>
        </w:rPr>
        <w:t>7</w:t>
      </w:r>
      <w:r>
        <w:rPr>
          <w:rFonts w:hint="eastAsia" w:ascii="Times New Roman Regular" w:hAnsi="Times New Roman Regular" w:cs="Times New Roman Regular"/>
          <w:color w:val="0000FF"/>
        </w:rPr>
        <w:t>(C1)</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(C2)</w:t>
      </w:r>
      <w:r>
        <w:rPr>
          <w:rFonts w:ascii="Times New Roman Regular" w:hAnsi="Times New Roman Regular" w:cs="Times New Roman Regular"/>
          <w:color w:val="0000FF"/>
        </w:rPr>
        <w:t>)</w:t>
      </w:r>
      <w:r>
        <w:rPr>
          <w:rFonts w:hint="eastAsia" w:ascii="Times New Roman Regular" w:hAnsi="Times New Roman Regular" w:cs="Times New Roman Regular"/>
          <w:color w:val="0000FF"/>
        </w:rPr>
        <w:t xml:space="preserve">, the predicted values of both models already exhibited good consistency with the observed values on the original dataset, with the predicted boxplots substantially overlapping the observed ones. With the incorporation of virtual samples, the prediction accuracy and stability of the models were further enhanced. The IQR and whiskers of the boxplots continued to narrow, and the predicted values became more concentrated within the true distribution range of the observed values. Following tenfold data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xml:space="preserve">, the agreement between predicted and observed values was exceptionally high, with an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reaching 0.977 and an RMSE decreasing to 3.03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demonstrating excellent predictive performance.</w:t>
      </w:r>
    </w:p>
    <w:p w14:paraId="1390F661">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72405" cy="2282825"/>
            <wp:effectExtent l="0" t="0" r="10795" b="3175"/>
            <wp:docPr id="3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9"/>
                    <pic:cNvPicPr>
                      <a:picLocks noChangeAspect="1"/>
                    </pic:cNvPicPr>
                  </pic:nvPicPr>
                  <pic:blipFill>
                    <a:blip r:embed="rId10"/>
                    <a:stretch>
                      <a:fillRect/>
                    </a:stretch>
                  </pic:blipFill>
                  <pic:spPr>
                    <a:xfrm>
                      <a:off x="0" y="0"/>
                      <a:ext cx="5272405" cy="2282825"/>
                    </a:xfrm>
                    <a:prstGeom prst="rect">
                      <a:avLst/>
                    </a:prstGeom>
                    <a:noFill/>
                    <a:ln>
                      <a:noFill/>
                    </a:ln>
                  </pic:spPr>
                </pic:pic>
              </a:graphicData>
            </a:graphic>
          </wp:inline>
        </w:drawing>
      </w:r>
    </w:p>
    <w:p w14:paraId="16F25DC1">
      <w:pPr>
        <w:spacing w:line="300" w:lineRule="auto"/>
        <w:jc w:val="center"/>
        <w:rPr>
          <w:rFonts w:hint="eastAsia" w:ascii="Times New Roman Regular" w:hAnsi="Times New Roman Regular" w:cs="Times New Roman Regular"/>
          <w:color w:val="0000FF"/>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7</w:t>
      </w:r>
      <w:r>
        <w:rPr>
          <w:rFonts w:ascii="Times New Roman Regular" w:hAnsi="Times New Roman Regular" w:cs="Times New Roman Regular"/>
          <w:color w:val="0000FF"/>
        </w:rPr>
        <w:t>. Comparison of observed and predicted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concentrations across data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levels for random forest and quantum feature-enhanced random forest models in normal, dry, and wet Seasons.</w:t>
      </w:r>
    </w:p>
    <w:p w14:paraId="0DF706DE">
      <w:pPr>
        <w:spacing w:line="300" w:lineRule="auto"/>
        <w:rPr>
          <w:rFonts w:ascii="Times New Roman Regular" w:hAnsi="Times New Roman Regular" w:cs="Times New Roman Regular"/>
          <w:color w:val="0000FF"/>
        </w:rPr>
      </w:pPr>
    </w:p>
    <w:p w14:paraId="58CF2812">
      <w:pPr>
        <w:spacing w:line="300" w:lineRule="auto"/>
        <w:outlineLvl w:val="2"/>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3.4.3 </w:t>
      </w:r>
      <w:r>
        <w:rPr>
          <w:rFonts w:ascii="Times New Roman Regular" w:hAnsi="Times New Roman Regular" w:cs="Times New Roman Regular"/>
          <w:color w:val="0000FF"/>
        </w:rPr>
        <w:t xml:space="preserve">Prediction </w:t>
      </w:r>
      <w:r>
        <w:rPr>
          <w:rFonts w:hint="eastAsia" w:ascii="Times New Roman Regular" w:hAnsi="Times New Roman Regular" w:cs="Times New Roman Regular"/>
          <w:color w:val="0000FF"/>
        </w:rPr>
        <w:t>b</w:t>
      </w:r>
      <w:r>
        <w:rPr>
          <w:rFonts w:ascii="Times New Roman Regular" w:hAnsi="Times New Roman Regular" w:cs="Times New Roman Regular"/>
          <w:color w:val="0000FF"/>
        </w:rPr>
        <w:t>ased on AlphaEarth Foundation Embeddings</w:t>
      </w:r>
    </w:p>
    <w:p w14:paraId="1E4127F0">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explore the potential of remote sensing semantic embedding features in predicting groundwater nitrate concentrations, this section employs the 64-dimensional surface semantic vectors derived from the Google AlphaEarth Foundation (AEF) dataset</w:t>
      </w:r>
      <w:r>
        <w:rPr>
          <w:rFonts w:ascii="Times New Roman Regular" w:hAnsi="Times New Roman Regular" w:cs="Times New Roman Regular"/>
          <w:color w:val="0000FF"/>
        </w:rPr>
        <w:t xml:space="preserve"> as model input variables. </w:t>
      </w:r>
      <w:r>
        <w:rPr>
          <w:rFonts w:hint="eastAsia" w:ascii="Times New Roman Regular" w:hAnsi="Times New Roman Regular" w:cs="Times New Roman Regular"/>
          <w:color w:val="0000FF"/>
        </w:rPr>
        <w:t>We reduced the variables through principal component analysis to preserve</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≥95% variance.</w:t>
      </w:r>
    </w:p>
    <w:p w14:paraId="44A5DD28">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During the normal</w:t>
      </w:r>
      <w:r>
        <w:rPr>
          <w:rFonts w:ascii="Times New Roman Regular" w:hAnsi="Times New Roman Regular" w:cs="Times New Roman Regular"/>
          <w:color w:val="0000FF"/>
        </w:rPr>
        <w:t xml:space="preserve"> season</w:t>
      </w:r>
      <w:r>
        <w:rPr>
          <w:rFonts w:hint="eastAsia" w:ascii="Times New Roman Regular" w:hAnsi="Times New Roman Regular" w:cs="Times New Roman Regular"/>
          <w:color w:val="0000FF"/>
        </w:rPr>
        <w:t>, modeling based on original samples yielded poor performance. The R</w:t>
      </w:r>
      <w:r>
        <w:rPr>
          <w:rFonts w:hint="eastAsia" w:ascii="Times New Roman Regular" w:hAnsi="Times New Roman Regular" w:cs="Times New Roman Regular"/>
          <w:color w:val="0000FF"/>
          <w:vertAlign w:val="superscript"/>
        </w:rPr>
        <w:t>2</w:t>
      </w:r>
      <w:r>
        <w:rPr>
          <w:rFonts w:ascii="Times New Roman Regular" w:hAnsi="Times New Roman Regular" w:cs="Times New Roman Regular"/>
          <w:color w:val="0000FF"/>
          <w:vertAlign w:val="superscript"/>
        </w:rPr>
        <w:t xml:space="preserve"> </w:t>
      </w:r>
      <w:r>
        <w:rPr>
          <w:rFonts w:hint="eastAsia" w:ascii="Times New Roman Regular" w:hAnsi="Times New Roman Regular" w:cs="Times New Roman Regular"/>
          <w:color w:val="0000FF"/>
        </w:rPr>
        <w:t>for Random Forest and quantum-enhanced RF were 0.167 and 0.119, respectively, with RMSE values as high as 32.89 and 33.82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xml:space="preserve"> (Table </w:t>
      </w:r>
      <w:r>
        <w:rPr>
          <w:rFonts w:hint="eastAsia" w:ascii="Times New Roman Regular" w:hAnsi="Times New Roman Regular" w:cs="Times New Roman Regular"/>
          <w:color w:val="0000FF"/>
          <w:lang w:val="en-US" w:eastAsia="zh-CN"/>
        </w:rPr>
        <w:t>S4</w:t>
      </w:r>
      <w:r>
        <w:rPr>
          <w:rFonts w:hint="eastAsia" w:ascii="Times New Roman Regular" w:hAnsi="Times New Roman Regular" w:cs="Times New Roman Regular"/>
          <w:color w:val="0000FF"/>
        </w:rPr>
        <w:t>). These results suggest that, given the limited sample size, relying solely on AEF embedding features is insufficient to fully capture the hydrological processes characteristic of this period. Model performance improved with the introduction of virtual samples. When the virtual samples were expanded to ten times the size of the original dataset,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of the RF model increased to 0.860, and the RMSE decreased to 10.73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w:t>
      </w:r>
      <w:r>
        <w:rPr>
          <w:rFonts w:ascii="Times New Roman Regular" w:hAnsi="Times New Roman Regular" w:cs="Times New Roman Regular"/>
          <w:color w:val="0000FF"/>
          <w:vertAlign w:val="superscript"/>
        </w:rPr>
        <w:t xml:space="preserve"> </w:t>
      </w:r>
      <w:r>
        <w:rPr>
          <w:rFonts w:hint="eastAsia" w:ascii="Times New Roman Regular" w:hAnsi="Times New Roman Regular" w:cs="Times New Roman Regular"/>
          <w:color w:val="0000FF"/>
          <w:vertAlign w:val="baseline"/>
        </w:rPr>
        <w:t>The bootstrap 95% confidence interval for this R</w:t>
      </w:r>
      <w:r>
        <w:rPr>
          <w:rFonts w:hint="default" w:ascii="Times New Roman Regular" w:hAnsi="Times New Roman Regular" w:cs="Times New Roman Regular"/>
          <w:color w:val="0000FF"/>
          <w:vertAlign w:val="superscript"/>
          <w:lang w:val="en-US"/>
        </w:rPr>
        <w:t>2</w:t>
      </w:r>
      <w:r>
        <w:rPr>
          <w:rFonts w:hint="eastAsia" w:ascii="Times New Roman Regular" w:hAnsi="Times New Roman Regular" w:cs="Times New Roman Regular"/>
          <w:color w:val="0000FF"/>
          <w:vertAlign w:val="baseline"/>
        </w:rPr>
        <w:t xml:space="preserve"> estimate narrowed to [0.8792, 0.9326], demonstrating that even with indirect remote sensing inputs, the model performance remains statistically stable after data </w:t>
      </w:r>
      <w:r>
        <w:rPr>
          <w:rFonts w:hint="default" w:ascii="Times New Roman Regular" w:hAnsi="Times New Roman Regular" w:cs="Times New Roman Regular"/>
          <w:color w:val="0000FF"/>
          <w:vertAlign w:val="baseline"/>
          <w:lang w:val="en-US"/>
        </w:rPr>
        <w:t xml:space="preserve">generation. </w:t>
      </w:r>
      <w:r>
        <w:rPr>
          <w:rFonts w:ascii="Times New Roman Regular" w:hAnsi="Times New Roman Regular" w:cs="Times New Roman Regular"/>
          <w:color w:val="0000FF"/>
        </w:rPr>
        <w:t>S</w:t>
      </w:r>
      <w:r>
        <w:rPr>
          <w:rFonts w:hint="eastAsia" w:ascii="Times New Roman Regular" w:hAnsi="Times New Roman Regular" w:cs="Times New Roman Regular"/>
          <w:color w:val="0000FF"/>
        </w:rPr>
        <w:t>imilarly, the quantum-enhanced RF achieved an R</w:t>
      </w:r>
      <w:r>
        <w:rPr>
          <w:rFonts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of 0.844, exhibiting a consistent overall trend. A comparison of boxplots (Fig. 1</w:t>
      </w:r>
      <w:r>
        <w:rPr>
          <w:rFonts w:hint="default" w:ascii="Times New Roman Regular" w:hAnsi="Times New Roman Regular" w:cs="Times New Roman Regular"/>
          <w:color w:val="0000FF"/>
          <w:lang w:val="en-US"/>
        </w:rPr>
        <w:t>8</w:t>
      </w:r>
      <w:r>
        <w:rPr>
          <w:rFonts w:hint="eastAsia" w:ascii="Times New Roman Regular" w:hAnsi="Times New Roman Regular" w:cs="Times New Roman Regular"/>
          <w:color w:val="0000FF"/>
        </w:rPr>
        <w:t>A) reveals that the initial predictions severely overestimated the low-to-medium concentration ranges while underestimating the high-value tails. As the sample size expanded, the predicted boxplots progressively converged toward the observed distribution. The agreement between the median and interquartile range (IQR) improved significantly, confirming that virtual samples effectively enhanced the capability of AEF features to represent non-linear patterns.</w:t>
      </w:r>
    </w:p>
    <w:p w14:paraId="502F913B">
      <w:pPr>
        <w:spacing w:line="300" w:lineRule="auto"/>
        <w:rPr>
          <w:rFonts w:hint="default" w:ascii="Times New Roman Regular" w:hAnsi="Times New Roman Regular" w:cs="Times New Roman Regular"/>
          <w:color w:val="0000FF"/>
          <w:lang w:val="en-US"/>
        </w:rPr>
      </w:pPr>
      <w:r>
        <w:rPr>
          <w:color w:val="0000FF"/>
        </w:rPr>
        <w:drawing>
          <wp:inline distT="0" distB="0" distL="114300" distR="114300">
            <wp:extent cx="5269865" cy="2286000"/>
            <wp:effectExtent l="0" t="0" r="13335" b="0"/>
            <wp:docPr id="3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0"/>
                    <pic:cNvPicPr>
                      <a:picLocks noChangeAspect="1"/>
                    </pic:cNvPicPr>
                  </pic:nvPicPr>
                  <pic:blipFill>
                    <a:blip r:embed="rId11"/>
                    <a:stretch>
                      <a:fillRect/>
                    </a:stretch>
                  </pic:blipFill>
                  <pic:spPr>
                    <a:xfrm>
                      <a:off x="0" y="0"/>
                      <a:ext cx="5269865" cy="2286000"/>
                    </a:xfrm>
                    <a:prstGeom prst="rect">
                      <a:avLst/>
                    </a:prstGeom>
                    <a:noFill/>
                    <a:ln>
                      <a:noFill/>
                    </a:ln>
                  </pic:spPr>
                </pic:pic>
              </a:graphicData>
            </a:graphic>
          </wp:inline>
        </w:drawing>
      </w:r>
    </w:p>
    <w:p w14:paraId="7BBCBC68">
      <w:pPr>
        <w:spacing w:line="300" w:lineRule="auto"/>
        <w:jc w:val="center"/>
        <w:rPr>
          <w:rFonts w:hint="eastAsia" w:ascii="Times New Roman Regular" w:hAnsi="Times New Roman Regular" w:cs="Times New Roman Regular"/>
          <w:color w:val="0000FF"/>
        </w:rPr>
      </w:pPr>
      <w:r>
        <w:rPr>
          <w:rFonts w:ascii="Times New Roman Bold" w:hAnsi="Times New Roman Bold" w:cs="Times New Roman Bold"/>
          <w:b/>
          <w:bCs/>
          <w:color w:val="0000FF"/>
        </w:rPr>
        <w:t>Fig.1</w:t>
      </w:r>
      <w:r>
        <w:rPr>
          <w:rFonts w:hint="default" w:ascii="Times New Roman Bold" w:hAnsi="Times New Roman Bold" w:cs="Times New Roman Bold"/>
          <w:b/>
          <w:bCs/>
          <w:color w:val="0000FF"/>
          <w:lang w:val="en-US"/>
        </w:rPr>
        <w:t>8</w:t>
      </w:r>
      <w:r>
        <w:rPr>
          <w:rFonts w:ascii="Times New Roman Regular" w:hAnsi="Times New Roman Regular" w:cs="Times New Roman Regular"/>
          <w:color w:val="0000FF"/>
        </w:rPr>
        <w:t>. Comparison of observation and prediction of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concentration by </w:t>
      </w:r>
      <w:r>
        <w:rPr>
          <w:rFonts w:hint="eastAsia" w:ascii="Times New Roman Regular" w:hAnsi="Times New Roman Regular" w:cs="Times New Roman Regular"/>
          <w:color w:val="0000FF"/>
        </w:rPr>
        <w:t>random</w:t>
      </w:r>
      <w:r>
        <w:rPr>
          <w:rFonts w:ascii="Times New Roman Regular" w:hAnsi="Times New Roman Regular" w:cs="Times New Roman Regular"/>
          <w:color w:val="0000FF"/>
        </w:rPr>
        <w:t xml:space="preserve"> forest and quantum featution-enhanced random forest models at data enhancement levels in normal, dry and wet seasons: based on AlphaEarth Foundation as the input variable.</w:t>
      </w:r>
    </w:p>
    <w:p w14:paraId="074D5309">
      <w:pPr>
        <w:spacing w:line="300" w:lineRule="auto"/>
        <w:ind w:firstLine="420"/>
        <w:rPr>
          <w:rFonts w:ascii="Times New Roman Regular" w:hAnsi="Times New Roman Regular" w:cs="Times New Roman Regular"/>
          <w:color w:val="0000FF"/>
        </w:rPr>
      </w:pPr>
      <w:r>
        <w:rPr>
          <w:rFonts w:ascii="Times New Roman Regular" w:hAnsi="Times New Roman Regular" w:cs="Times New Roman Regular"/>
          <w:color w:val="0000FF"/>
        </w:rPr>
        <w:t>In the dry season, modeling with the original dataset resulted in a negative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reflecting the extremely weak generalization ability of AEF features in scenarios characterized by high variability and heavy-tailed distributions (</w:t>
      </w:r>
      <w:r>
        <w:rPr>
          <w:rFonts w:ascii="Times New Roman Regular" w:hAnsi="Times New Roman Regular" w:cs="Times New Roman Regular"/>
          <w:color w:val="0000FF"/>
        </w:rPr>
        <w:t xml:space="preserve">Table </w:t>
      </w:r>
      <w:r>
        <w:rPr>
          <w:rFonts w:hint="eastAsia" w:ascii="Times New Roman Regular" w:hAnsi="Times New Roman Regular" w:cs="Times New Roman Regular"/>
          <w:color w:val="0000FF"/>
          <w:lang w:val="en-US" w:eastAsia="zh-CN"/>
        </w:rPr>
        <w:t>S5</w:t>
      </w:r>
      <w:r>
        <w:rPr>
          <w:rFonts w:ascii="Times New Roman Regular" w:hAnsi="Times New Roman Regular" w:cs="Times New Roman Regular"/>
          <w:color w:val="0000FF"/>
        </w:rPr>
        <w:t>). Following the introduction of a single-fold of virtual samples, the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rose to 0.039. Upon an 8-fold expansion, the RF 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reached 0.641 (RMSE=21.05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with a bootstrap 95% CI of [0.6385, 0.8638]</w:t>
      </w:r>
      <w:r>
        <w:rPr>
          <w:rFonts w:hint="default" w:ascii="Times New Roman Regular" w:hAnsi="Times New Roman Regular" w:cs="Times New Roman Regular"/>
          <w:color w:val="0000FF"/>
          <w:lang w:val="en-US"/>
        </w:rPr>
        <w:t>. A</w:t>
      </w:r>
      <w:r>
        <w:rPr>
          <w:rFonts w:ascii="Times New Roman Regular" w:hAnsi="Times New Roman Regular" w:cs="Times New Roman Regular"/>
          <w:color w:val="0000FF"/>
        </w:rPr>
        <w:t>t a 10-fold expansion, it further improved to 0.674 (RMSE=19.86 mg L</w:t>
      </w:r>
      <w:r>
        <w:rPr>
          <w:rFonts w:ascii="Times New Roman Regular" w:hAnsi="Times New Roman Regular" w:cs="Times New Roman Regular"/>
          <w:color w:val="0000FF"/>
          <w:vertAlign w:val="superscript"/>
        </w:rPr>
        <w:t>-1</w:t>
      </w:r>
      <w:r>
        <w:rPr>
          <w:rFonts w:ascii="Times New Roman Regular" w:hAnsi="Times New Roman Regular" w:cs="Times New Roman Regular"/>
          <w:color w:val="0000FF"/>
        </w:rPr>
        <w:t>). The quantum-enhanced RF slightly outperformed the standard RF at high expansion levels, indicating that quantum encoding offers certain advantages in mitigating the influence of extreme values and enhancing model robustness (Fig. 1</w:t>
      </w:r>
      <w:r>
        <w:rPr>
          <w:rFonts w:hint="default" w:ascii="Times New Roman Regular" w:hAnsi="Times New Roman Regular" w:cs="Times New Roman Regular"/>
          <w:color w:val="0000FF"/>
          <w:lang w:val="en-US"/>
        </w:rPr>
        <w:t>8</w:t>
      </w:r>
      <w:r>
        <w:rPr>
          <w:rFonts w:ascii="Times New Roman Regular" w:hAnsi="Times New Roman Regular" w:cs="Times New Roman Regular"/>
          <w:color w:val="0000FF"/>
        </w:rPr>
        <w:t>B). The prediction distribution plots indicate that the initial model failed entirely to identify the high-concentration clustering characteristics of NO</w:t>
      </w:r>
      <w:r>
        <w:rPr>
          <w:rFonts w:ascii="Times New Roman Regular" w:hAnsi="Times New Roman Regular" w:cs="Times New Roman Regular"/>
          <w:color w:val="0000FF"/>
          <w:vertAlign w:val="subscript"/>
        </w:rPr>
        <w:t>3</w:t>
      </w:r>
      <w:r>
        <w:rPr>
          <w:rFonts w:ascii="Times New Roman Regular" w:hAnsi="Times New Roman Regular" w:cs="Times New Roman Regular"/>
          <w:color w:val="0000FF"/>
          <w:vertAlign w:val="superscript"/>
        </w:rPr>
        <w:t>-</w:t>
      </w:r>
      <w:r>
        <w:rPr>
          <w:rFonts w:ascii="Times New Roman Regular" w:hAnsi="Times New Roman Regular" w:cs="Times New Roman Regular"/>
          <w:color w:val="0000FF"/>
        </w:rPr>
        <w:t xml:space="preserve"> during the dry season. After data </w:t>
      </w:r>
      <w:r>
        <w:rPr>
          <w:rFonts w:hint="default" w:ascii="Times New Roman Regular" w:hAnsi="Times New Roman Regular" w:cs="Times New Roman Regular"/>
          <w:color w:val="0000FF"/>
          <w:lang w:val="en-US"/>
        </w:rPr>
        <w:t>generation</w:t>
      </w:r>
      <w:r>
        <w:rPr>
          <w:rFonts w:ascii="Times New Roman Regular" w:hAnsi="Times New Roman Regular" w:cs="Times New Roman Regular"/>
          <w:color w:val="0000FF"/>
        </w:rPr>
        <w:t>, the predicted boxplots progressively covered the true high-value intervals, and the trend of tail extension gradually aligned with the observed data.</w:t>
      </w:r>
    </w:p>
    <w:p w14:paraId="2A254C0F">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 xml:space="preserve">In the wet season, although modeling with the original data still yielded a negative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2</w:t>
      </w:r>
      <w:r>
        <w:rPr>
          <w:rFonts w:hint="eastAsia" w:ascii="Times New Roman Regular" w:hAnsi="Times New Roman Regular" w:cs="Times New Roman Regular"/>
          <w:color w:val="0000FF"/>
        </w:rPr>
        <w:t xml:space="preserve">, the performance improvement was the most rapid (Table </w:t>
      </w:r>
      <w:r>
        <w:rPr>
          <w:rFonts w:hint="eastAsia" w:ascii="Times New Roman Regular" w:hAnsi="Times New Roman Regular" w:cs="Times New Roman Regular"/>
          <w:color w:val="0000FF"/>
          <w:lang w:val="en-US" w:eastAsia="zh-CN"/>
        </w:rPr>
        <w:t>S6</w:t>
      </w:r>
      <w:r>
        <w:rPr>
          <w:rFonts w:hint="eastAsia" w:ascii="Times New Roman Regular" w:hAnsi="Times New Roman Regular" w:cs="Times New Roman Regular"/>
          <w:color w:val="0000FF"/>
        </w:rPr>
        <w:t xml:space="preserve">). An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2</w:t>
      </w:r>
      <w:r>
        <w:rPr>
          <w:rFonts w:ascii="Times New Roman Regular" w:hAnsi="Times New Roman Regular" w:cs="Times New Roman Regular"/>
          <w:color w:val="0000FF"/>
        </w:rPr>
        <w:t xml:space="preserve"> </w:t>
      </w:r>
      <w:r>
        <w:rPr>
          <w:rFonts w:hint="eastAsia" w:ascii="Times New Roman Regular" w:hAnsi="Times New Roman Regular" w:cs="Times New Roman Regular"/>
          <w:color w:val="0000FF"/>
        </w:rPr>
        <w:t xml:space="preserve">of 0.5 was achieved with only a 2-fold expansion of virtual samples. At 5-fold expansion, it reached 0.685, and after a 10-fold expansion, the RF </w:t>
      </w:r>
      <w:r>
        <w:rPr>
          <w:rFonts w:ascii="Times New Roman Regular" w:hAnsi="Times New Roman Regular" w:cs="Times New Roman Regular"/>
          <w:color w:val="0000FF"/>
        </w:rPr>
        <w:t>R</w:t>
      </w:r>
      <w:r>
        <w:rPr>
          <w:rFonts w:ascii="Times New Roman Regular" w:hAnsi="Times New Roman Regular" w:cs="Times New Roman Regular"/>
          <w:color w:val="0000FF"/>
          <w:vertAlign w:val="superscript"/>
        </w:rPr>
        <w:t xml:space="preserve">2 </w:t>
      </w:r>
      <w:r>
        <w:rPr>
          <w:rFonts w:hint="eastAsia" w:ascii="Times New Roman Regular" w:hAnsi="Times New Roman Regular" w:cs="Times New Roman Regular"/>
          <w:color w:val="0000FF"/>
        </w:rPr>
        <w:t>stabilized at 0.784 (RMSE=8.27 mg L</w:t>
      </w:r>
      <w:r>
        <w:rPr>
          <w:rFonts w:ascii="Times New Roman Regular" w:hAnsi="Times New Roman Regular" w:cs="Times New Roman Regular"/>
          <w:color w:val="0000FF"/>
          <w:vertAlign w:val="superscript"/>
        </w:rPr>
        <w:t>-1</w:t>
      </w:r>
      <w:r>
        <w:rPr>
          <w:rFonts w:hint="eastAsia" w:ascii="Times New Roman Regular" w:hAnsi="Times New Roman Regular" w:cs="Times New Roman Regular"/>
          <w:color w:val="0000FF"/>
        </w:rPr>
        <w:t>), while the quantum-enhanced RF reached 0.781. The boxplots show that the predicted values, initially severely dispersed and systematically biased, rapidly converged to the dense intervals of the observed values, with the final IQR and whisker ranges showing a high degree of overlap.</w:t>
      </w:r>
    </w:p>
    <w:p w14:paraId="1B8832E1">
      <w:pPr>
        <w:spacing w:line="300" w:lineRule="auto"/>
        <w:ind w:firstLine="420"/>
        <w:rPr>
          <w:color w:val="0000FF"/>
        </w:rPr>
      </w:pPr>
      <w:r>
        <w:rPr>
          <w:rFonts w:ascii="Times New Roman Regular" w:hAnsi="Times New Roman Regular" w:cs="Times New Roman Regular"/>
          <w:color w:val="0000FF"/>
        </w:rPr>
        <w:t xml:space="preserve">Compared to modeling results based on in-situ observation data, the predictive performance based on AlphaEarth Foundation embedding features was generally lower. Under the same virtual sample </w:t>
      </w:r>
      <w:r>
        <w:rPr>
          <w:rFonts w:hint="default" w:ascii="Times New Roman Regular" w:hAnsi="Times New Roman Regular" w:cs="Times New Roman Regular"/>
          <w:color w:val="0000FF"/>
          <w:lang w:val="en-US"/>
        </w:rPr>
        <w:t xml:space="preserve">generation </w:t>
      </w:r>
      <w:r>
        <w:rPr>
          <w:rFonts w:ascii="Times New Roman Regular" w:hAnsi="Times New Roman Regular" w:cs="Times New Roman Regular"/>
          <w:color w:val="0000FF"/>
        </w:rPr>
        <w:t>multiplier, the maximum R</w:t>
      </w:r>
      <w:r>
        <w:rPr>
          <w:rFonts w:ascii="Times New Roman Regular" w:hAnsi="Times New Roman Regular" w:cs="Times New Roman Regular"/>
          <w:color w:val="0000FF"/>
          <w:vertAlign w:val="superscript"/>
        </w:rPr>
        <w:t xml:space="preserve">2 </w:t>
      </w:r>
      <w:r>
        <w:rPr>
          <w:rFonts w:ascii="Times New Roman Regular" w:hAnsi="Times New Roman Regular" w:cs="Times New Roman Regular"/>
          <w:color w:val="0000FF"/>
        </w:rPr>
        <w:t>for the normal, dry, and wet seasons were approximately 10.27%, 17.37%, and 19.33% lower, respectively. This indicates that measured water quality parameters more directly reflect the key processes of nitrogen migration and transformation. However, given that AEF can be obtained globally without the need for field sampling, it offers a feasible alternative for the rapid screening of groundwater nitrate risks in large-scale unmonitored areas.</w:t>
      </w:r>
    </w:p>
    <w:p w14:paraId="75DC6B79">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2AE4F825">
      <w:pPr>
        <w:spacing w:line="300" w:lineRule="auto"/>
        <w:outlineLvl w:val="1"/>
        <w:rPr>
          <w:rFonts w:hint="default"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lang w:val="en-US" w:eastAsia="zh-CN"/>
        </w:rPr>
        <w:t>3.</w:t>
      </w:r>
      <w:r>
        <w:rPr>
          <w:rFonts w:hint="default" w:ascii="Times New Roman Regular" w:hAnsi="Times New Roman Regular" w:cs="Times New Roman Regular"/>
          <w:color w:val="0000FF"/>
          <w:lang w:val="en-US" w:eastAsia="zh-CN"/>
        </w:rPr>
        <w:t>6</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eastAsiaTheme="minorEastAsia"/>
          <w:color w:val="0000FF"/>
          <w:lang w:val="en-US" w:eastAsia="zh-CN"/>
        </w:rPr>
        <w:t>Sensitivity analysis of key parameters</w:t>
      </w:r>
    </w:p>
    <w:p w14:paraId="66723826">
      <w:pPr>
        <w:spacing w:line="300" w:lineRule="auto"/>
        <w:ind w:firstLine="420"/>
        <w:rPr>
          <w:rFonts w:ascii="Times New Roman Regular" w:hAnsi="Times New Roman Regular" w:cs="Times New Roman Regular"/>
          <w:color w:val="0000FF"/>
        </w:rPr>
      </w:pPr>
      <w:r>
        <w:rPr>
          <w:rFonts w:hint="eastAsia" w:ascii="Times New Roman Regular" w:hAnsi="Times New Roman Regular" w:cs="Times New Roman Regular"/>
          <w:color w:val="0000FF"/>
        </w:rPr>
        <w:t>To quantitatively evaluate the response intensity of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nitrate concentration prediction results to the perturbation of input hydrochemical parameters, and to verify the robustness of the model and the reliability of feature importance ranking, this study conducted a multi-dimensional sensitivity analysis based on the Sobol global sensitivity index</w:t>
      </w:r>
      <w:r>
        <w:rPr>
          <w:rFonts w:hint="default" w:ascii="Times New Roman Regular" w:hAnsi="Times New Roman Regular" w:cs="Times New Roman Regular"/>
          <w:color w:val="0000FF"/>
          <w:lang w:val="en-US"/>
        </w:rPr>
        <w:t xml:space="preserve"> (first-order and total-order)</w:t>
      </w:r>
      <w:r>
        <w:rPr>
          <w:rFonts w:hint="eastAsia" w:ascii="Times New Roman Regular" w:hAnsi="Times New Roman Regular" w:cs="Times New Roman Regular"/>
          <w:color w:val="0000FF"/>
        </w:rPr>
        <w:t xml:space="preserve">, one-at-a-time (OAT) feature perturbation test, and elasticity coefficient calculation. The analysis was performed for both classical Random Forest and hybrid quantum-classical Random Forest models under different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gradients (original, 1</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5</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across normal, dry, and wet hydrological seasons, to systematically reveal the key controlling parameters of the model and the stability of parameter sensitivity under data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w:t>
      </w:r>
    </w:p>
    <w:p w14:paraId="1F98442C">
      <w:pPr>
        <w:spacing w:line="300" w:lineRule="auto"/>
        <w:rPr>
          <w:rFonts w:ascii="Times New Roman Regular" w:hAnsi="Times New Roman Regular" w:cs="Times New Roman Regular"/>
          <w:color w:val="0000FF"/>
        </w:rPr>
      </w:pPr>
    </w:p>
    <w:p w14:paraId="42062BAD">
      <w:pPr>
        <w:spacing w:line="300" w:lineRule="auto"/>
        <w:outlineLvl w:val="2"/>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3.</w:t>
      </w:r>
      <w:r>
        <w:rPr>
          <w:rFonts w:hint="default" w:ascii="Times New Roman Regular" w:hAnsi="Times New Roman Regular" w:cs="Times New Roman Regular"/>
          <w:color w:val="0000FF"/>
          <w:lang w:val="en-US"/>
        </w:rPr>
        <w:t>6</w:t>
      </w:r>
      <w:r>
        <w:rPr>
          <w:rFonts w:hint="eastAsia" w:ascii="Times New Roman Regular" w:hAnsi="Times New Roman Regular" w:cs="Times New Roman Regular"/>
          <w:color w:val="0000FF"/>
        </w:rPr>
        <w:t>.1 Global sensitivity analysis based on Sobol' index</w:t>
      </w:r>
    </w:p>
    <w:p w14:paraId="545BE1FA">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 xml:space="preserve">Normal season: For the classical RF model, the total-order Sobol sensitivity index showed that TDS (0.2882-0.2933), EC (0.2701-0.2839), and Salt (0.2411-0.2612) were consistently the top three parameters with the highest global sensitivity across all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gradients</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Fig. 22)</w:t>
      </w:r>
      <w:r>
        <w:rPr>
          <w:rFonts w:hint="eastAsia" w:ascii="Times New Roman Regular" w:hAnsi="Times New Roman Regular" w:cs="Times New Roman Regular"/>
          <w:color w:val="0000FF"/>
        </w:rPr>
        <w:t>, which was highly consistent with the feature importance ranking based on the Gini index and SHAP value. The first-order sensitivity index of TDS remained above 0.29 in the original dataset, and stabilized at 0.2938 after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virtual sample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xml:space="preserve">, indicating that TDS has a stable and dominant independent contribution to the model prediction results. The sensitivity of pH, T, DO, and ORP was significantly lower, with total-order indices all below 0.08, showing that these parameters have limited independent influence on nitrate prediction in the normal season. For the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model, the ov</w:t>
      </w:r>
      <w:bookmarkStart w:id="0" w:name="_GoBack"/>
      <w:bookmarkEnd w:id="0"/>
      <w:r>
        <w:rPr>
          <w:rFonts w:hint="eastAsia" w:ascii="Times New Roman Regular" w:hAnsi="Times New Roman Regular" w:cs="Times New Roman Regular"/>
          <w:color w:val="0000FF"/>
        </w:rPr>
        <w:t>erall sensitivity ranking of parameters was consistent with the classical RF, while the total-order sensitivity of TDS, EC, and Salt was further stabilized after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(TDS: 0.2586, EC: 0.2516, Salt: 0.2416). </w:t>
      </w:r>
      <w:r>
        <w:rPr>
          <w:rFonts w:hint="default" w:ascii="Times New Roman Regular" w:hAnsi="Times New Roman Regular" w:cs="Times New Roman Regular"/>
          <w:color w:val="0000FF"/>
          <w:lang w:val="en-US"/>
        </w:rPr>
        <w:t>T</w:t>
      </w:r>
      <w:r>
        <w:rPr>
          <w:rFonts w:hint="eastAsia" w:ascii="Times New Roman Regular" w:hAnsi="Times New Roman Regular" w:cs="Times New Roman Regular"/>
          <w:color w:val="0000FF"/>
        </w:rPr>
        <w:t>he total-order sensitivity of ORP increased from 0.0313 (original data) to 0.0608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indicating that quantum feature encoding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perception of the redox environment</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s contribution to nitrate dynamics, and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further improves the stability of sensitivity estimation for low-contribution parameters.</w:t>
      </w:r>
    </w:p>
    <w:p w14:paraId="3FBF28B3">
      <w:pPr>
        <w:spacing w:line="300" w:lineRule="auto"/>
        <w:rPr>
          <w:color w:val="0000FF"/>
        </w:rPr>
      </w:pPr>
      <w:r>
        <w:rPr>
          <w:color w:val="0000FF"/>
        </w:rPr>
        <w:drawing>
          <wp:inline distT="0" distB="0" distL="114300" distR="114300">
            <wp:extent cx="5273675" cy="3524885"/>
            <wp:effectExtent l="0" t="0" r="9525" b="5715"/>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12"/>
                    <a:stretch>
                      <a:fillRect/>
                    </a:stretch>
                  </pic:blipFill>
                  <pic:spPr>
                    <a:xfrm>
                      <a:off x="0" y="0"/>
                      <a:ext cx="5273675" cy="3524885"/>
                    </a:xfrm>
                    <a:prstGeom prst="rect">
                      <a:avLst/>
                    </a:prstGeom>
                    <a:noFill/>
                    <a:ln>
                      <a:noFill/>
                    </a:ln>
                  </pic:spPr>
                </pic:pic>
              </a:graphicData>
            </a:graphic>
          </wp:inline>
        </w:drawing>
      </w:r>
    </w:p>
    <w:p w14:paraId="19D7ED87">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Fig.22</w:t>
      </w:r>
      <w:r>
        <w:rPr>
          <w:rFonts w:hint="default" w:ascii="Times New Roman Regular" w:hAnsi="Times New Roman Regular" w:cs="Times New Roman Regular"/>
          <w:color w:val="0000FF"/>
          <w:lang w:val="en-US" w:eastAsia="zh-CN"/>
        </w:rPr>
        <w:t>. Sensitivity analysis of key parameters during the normal season.</w:t>
      </w:r>
    </w:p>
    <w:p w14:paraId="5A73EC2A">
      <w:pPr>
        <w:spacing w:line="300" w:lineRule="auto"/>
        <w:ind w:firstLine="420"/>
        <w:rPr>
          <w:rFonts w:ascii="Times New Roman Regular" w:hAnsi="Times New Roman Regular" w:cs="Times New Roman Regular"/>
          <w:color w:val="0000FF"/>
        </w:rPr>
      </w:pPr>
      <w:r>
        <w:rPr>
          <w:rFonts w:hint="default" w:ascii="Times New Roman Regular" w:hAnsi="Times New Roman Regular" w:cs="Times New Roman Regular"/>
          <w:color w:val="0000FF"/>
        </w:rPr>
        <w:t>The dry season, characterized by highly skewed nitrate distribution and strong evaporative concentration effects, showed differences in parameter sensitivity compared with the normal season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23)</w:t>
      </w:r>
      <w:r>
        <w:rPr>
          <w:rFonts w:hint="default" w:ascii="Times New Roman Regular" w:hAnsi="Times New Roman Regular" w:cs="Times New Roman Regular"/>
          <w:color w:val="0000FF"/>
        </w:rPr>
        <w:t xml:space="preserve">. For the classical RF model with original data, TDS (total-order index 0.2713), Salt (0.1907), EC (0.1739), DO (0.1766), and pH (0.1146) were the top five sensitive parameters. The total-order sensitivity of pH reached 0.1146 in the original dataset, which was much higher than that in the normal and wet seasons, reflecting that the acid-base environment is a key factor affecting nitrate accumulation under strong evaporation conditions in the dry season. With the increase of virtual sample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 xml:space="preserve">multiples, the sensitivity of TDS, EC, and Salt gradually stabilized, while the sensitivity of DO maintained a high level (total-order index 0.1596-0.2165), confirming that dissolved oxygen, as a key indicator of nitrification intensity, has a persistent driving effect on nitrate concentration in the oxidizing environment of the dry season. For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 the total-order sensitivity of pH (0.1015) and DO (0.1665) after 10×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was higher than that of the classical RF model, indicating that the hybrid quantum-classical framework has better robustness in capturing the nonlinear relationship between hydrochemical parameters and nitrate under high-heterogeneity, small-sample conditions in the dry season.</w:t>
      </w:r>
    </w:p>
    <w:p w14:paraId="6F4BE1C6">
      <w:pPr>
        <w:spacing w:line="300" w:lineRule="auto"/>
        <w:rPr>
          <w:color w:val="0000FF"/>
        </w:rPr>
      </w:pPr>
      <w:r>
        <w:rPr>
          <w:color w:val="0000FF"/>
        </w:rPr>
        <w:drawing>
          <wp:inline distT="0" distB="0" distL="114300" distR="114300">
            <wp:extent cx="5270500" cy="3493770"/>
            <wp:effectExtent l="0" t="0" r="12700" b="1143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3"/>
                    <a:stretch>
                      <a:fillRect/>
                    </a:stretch>
                  </pic:blipFill>
                  <pic:spPr>
                    <a:xfrm>
                      <a:off x="0" y="0"/>
                      <a:ext cx="5270500" cy="3493770"/>
                    </a:xfrm>
                    <a:prstGeom prst="rect">
                      <a:avLst/>
                    </a:prstGeom>
                    <a:noFill/>
                    <a:ln>
                      <a:noFill/>
                    </a:ln>
                  </pic:spPr>
                </pic:pic>
              </a:graphicData>
            </a:graphic>
          </wp:inline>
        </w:drawing>
      </w:r>
    </w:p>
    <w:p w14:paraId="76EF0694">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w:t>
      </w:r>
      <w:r>
        <w:rPr>
          <w:rFonts w:hint="eastAsia" w:ascii="Times New Roman Bold" w:hAnsi="Times New Roman Bold" w:cs="Times New Roman Bold"/>
          <w:b/>
          <w:bCs/>
          <w:color w:val="0000FF"/>
          <w:lang w:val="en-US" w:eastAsia="zh-CN"/>
        </w:rPr>
        <w:t>3</w:t>
      </w:r>
      <w:r>
        <w:rPr>
          <w:rFonts w:hint="default" w:ascii="Times New Roman Regular" w:hAnsi="Times New Roman Regular" w:cs="Times New Roman Regular"/>
          <w:color w:val="0000FF"/>
          <w:lang w:val="en-US" w:eastAsia="zh-CN"/>
        </w:rPr>
        <w:t xml:space="preserve">. Sensitivity analysis of key parameters during the </w:t>
      </w:r>
      <w:r>
        <w:rPr>
          <w:rFonts w:hint="eastAsia" w:ascii="Times New Roman Regular" w:hAnsi="Times New Roman Regular" w:cs="Times New Roman Regular"/>
          <w:color w:val="0000FF"/>
          <w:lang w:val="en-US" w:eastAsia="zh-CN"/>
        </w:rPr>
        <w:t>dry</w:t>
      </w:r>
      <w:r>
        <w:rPr>
          <w:rFonts w:hint="default" w:ascii="Times New Roman Regular" w:hAnsi="Times New Roman Regular" w:cs="Times New Roman Regular"/>
          <w:color w:val="0000FF"/>
          <w:lang w:val="en-US" w:eastAsia="zh-CN"/>
        </w:rPr>
        <w:t xml:space="preserve"> season.</w:t>
      </w:r>
    </w:p>
    <w:p w14:paraId="4D5E21D7">
      <w:pPr>
        <w:spacing w:line="300" w:lineRule="auto"/>
        <w:ind w:firstLine="420"/>
        <w:rPr>
          <w:rFonts w:ascii="Times New Roman Regular" w:hAnsi="Times New Roman Regular" w:cs="Times New Roman Regular"/>
          <w:color w:val="0000FF"/>
        </w:rPr>
      </w:pPr>
      <w:r>
        <w:rPr>
          <w:rFonts w:hint="default" w:ascii="Times New Roman Regular" w:hAnsi="Times New Roman Regular" w:cs="Times New Roman Regular"/>
          <w:color w:val="0000FF"/>
        </w:rPr>
        <w:t>In the wet season dominated by precipitation dilution and infiltration, the parameter sensitivity pattern was more concentrated</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lang w:val="en-US"/>
        </w:rPr>
        <w:t>Fig. 24)</w:t>
      </w:r>
      <w:r>
        <w:rPr>
          <w:rFonts w:hint="default" w:ascii="Times New Roman Regular" w:hAnsi="Times New Roman Regular" w:cs="Times New Roman Regular"/>
          <w:color w:val="0000FF"/>
        </w:rPr>
        <w:t xml:space="preserve">. For the classical RF model, TDS (total-order index 0.2819-0.3179), Salt (0.2565-0.2810), and EC (0.2478-0.2492) maintained an absolute dominant position in global sensitivity across all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gradients, with the sum of their total-order indices exceeding 75% of the total sensitivity of all parameters. The total-order sensitivity of ORP ranked fourth (0.1153-0.1435), which was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 xml:space="preserve">higher than that in the normal and dry seasons, reflecting that the redox potential change caused by rainfall infiltration is a key secondary factor affecting nitrate leaching and migration in the wet season. The sensitivity of pH, T, and DO was extremely low, with total-order indices all below 0.03, indicating that these parameters have limited independent influence on nitrate prediction under the dilution effect of heavy precipitation.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showed a consistent sensitivity ranking with the classical RF, and the total-order sensitivity of ORP further increased to 0.1343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verifying the reliability of ORP as a key driving parameter in the wet season.</w:t>
      </w:r>
    </w:p>
    <w:p w14:paraId="17230365">
      <w:pPr>
        <w:spacing w:line="300" w:lineRule="auto"/>
        <w:rPr>
          <w:color w:val="0000FF"/>
        </w:rPr>
      </w:pPr>
      <w:r>
        <w:rPr>
          <w:color w:val="0000FF"/>
        </w:rPr>
        <w:drawing>
          <wp:inline distT="0" distB="0" distL="114300" distR="114300">
            <wp:extent cx="5262880" cy="3509010"/>
            <wp:effectExtent l="0" t="0" r="20320" b="2159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14"/>
                    <a:stretch>
                      <a:fillRect/>
                    </a:stretch>
                  </pic:blipFill>
                  <pic:spPr>
                    <a:xfrm>
                      <a:off x="0" y="0"/>
                      <a:ext cx="5262880" cy="3509010"/>
                    </a:xfrm>
                    <a:prstGeom prst="rect">
                      <a:avLst/>
                    </a:prstGeom>
                    <a:noFill/>
                    <a:ln>
                      <a:noFill/>
                    </a:ln>
                  </pic:spPr>
                </pic:pic>
              </a:graphicData>
            </a:graphic>
          </wp:inline>
        </w:drawing>
      </w:r>
    </w:p>
    <w:p w14:paraId="1B208A5D">
      <w:pPr>
        <w:spacing w:line="300" w:lineRule="auto"/>
        <w:jc w:val="center"/>
        <w:rPr>
          <w:rFonts w:hint="default" w:ascii="Times New Roman Regular" w:hAnsi="Times New Roman Regular" w:cs="Times New Roman Regular" w:eastAsiaTheme="minorEastAsia"/>
          <w:color w:val="0000FF"/>
          <w:lang w:val="en-US" w:eastAsia="zh-CN"/>
        </w:rPr>
      </w:pPr>
      <w:r>
        <w:rPr>
          <w:rFonts w:hint="default" w:ascii="Times New Roman Bold" w:hAnsi="Times New Roman Bold" w:cs="Times New Roman Bold"/>
          <w:b/>
          <w:bCs/>
          <w:color w:val="0000FF"/>
          <w:lang w:val="en-US" w:eastAsia="zh-CN"/>
        </w:rPr>
        <w:t>Fig.2</w:t>
      </w:r>
      <w:r>
        <w:rPr>
          <w:rFonts w:hint="eastAsia" w:ascii="Times New Roman Bold" w:hAnsi="Times New Roman Bold" w:cs="Times New Roman Bold"/>
          <w:b/>
          <w:bCs/>
          <w:color w:val="0000FF"/>
          <w:lang w:val="en-US" w:eastAsia="zh-CN"/>
        </w:rPr>
        <w:t>4</w:t>
      </w:r>
      <w:r>
        <w:rPr>
          <w:rFonts w:hint="default" w:ascii="Times New Roman Regular" w:hAnsi="Times New Roman Regular" w:cs="Times New Roman Regular"/>
          <w:color w:val="0000FF"/>
          <w:lang w:val="en-US" w:eastAsia="zh-CN"/>
        </w:rPr>
        <w:t xml:space="preserve">. Sensitivity analysis of key parameters during the </w:t>
      </w:r>
      <w:r>
        <w:rPr>
          <w:rFonts w:hint="eastAsia" w:ascii="Times New Roman Regular" w:hAnsi="Times New Roman Regular" w:cs="Times New Roman Regular"/>
          <w:color w:val="0000FF"/>
          <w:lang w:val="en-US" w:eastAsia="zh-CN"/>
        </w:rPr>
        <w:t>wet</w:t>
      </w:r>
      <w:r>
        <w:rPr>
          <w:rFonts w:hint="default" w:ascii="Times New Roman Regular" w:hAnsi="Times New Roman Regular" w:cs="Times New Roman Regular"/>
          <w:color w:val="0000FF"/>
          <w:lang w:val="en-US" w:eastAsia="zh-CN"/>
        </w:rPr>
        <w:t xml:space="preserve"> season.</w:t>
      </w:r>
    </w:p>
    <w:p w14:paraId="7AD10586">
      <w:pPr>
        <w:spacing w:line="300" w:lineRule="auto"/>
        <w:rPr>
          <w:color w:val="0000FF"/>
        </w:rPr>
      </w:pPr>
    </w:p>
    <w:p w14:paraId="6F7FE007">
      <w:pPr>
        <w:spacing w:line="300" w:lineRule="auto"/>
        <w:outlineLvl w:val="2"/>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3.</w:t>
      </w:r>
      <w:r>
        <w:rPr>
          <w:rFonts w:hint="default" w:ascii="Times New Roman Regular" w:hAnsi="Times New Roman Regular" w:cs="Times New Roman Regular"/>
          <w:color w:val="0000FF"/>
          <w:lang w:val="en-US"/>
        </w:rPr>
        <w:t>6</w:t>
      </w:r>
      <w:r>
        <w:rPr>
          <w:rFonts w:hint="default" w:ascii="Times New Roman Regular" w:hAnsi="Times New Roman Regular" w:cs="Times New Roman Regular"/>
          <w:color w:val="0000FF"/>
        </w:rPr>
        <w:t>.2 Feature perturbation sensitivity and elasticity analysis</w:t>
      </w:r>
    </w:p>
    <w:p w14:paraId="2F346011">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OAT perturbation test was conducted by fixing other input parameters and varying the target parameter within ±30% of its measured range, to calculate the relative change rate of the model</w:t>
      </w: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rPr>
        <w:t>s predicted output and characterize the direct response of the model to single parameter perturbation. The elasticity coefficient was further introduced to quantify the directional response degree of nitrate concentration prediction to per unit change of each parameter, where an absolute value greater than 1 indicates an elastic response, and less than 1 indicates an inelastic response.</w:t>
      </w:r>
    </w:p>
    <w:p w14:paraId="31BD7021">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OAT perturbation test further verified the stability of the model</w:t>
      </w:r>
      <w:r>
        <w:rPr>
          <w:rFonts w:hint="default" w:ascii="Times New Roman Regular" w:hAnsi="Times New Roman Regular" w:cs="Times New Roman Regular"/>
          <w:color w:val="0000FF"/>
          <w:lang w:val="en-US"/>
        </w:rPr>
        <w:t>’</w:t>
      </w:r>
      <w:r>
        <w:rPr>
          <w:rFonts w:hint="default" w:ascii="Times New Roman Regular" w:hAnsi="Times New Roman Regular" w:cs="Times New Roman Regular"/>
          <w:color w:val="0000FF"/>
        </w:rPr>
        <w:t xml:space="preserve">s response to parameter changes. In the normal season, the perturbation sensitivity of TDS and EC remained above 0.11 for both classical RF and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models after 10× virtual sample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which was higher than other parameters. In the dry season, the perturbation sensitivity of pH increased sharply from 0.3033 (original data) to 2.0128 (10×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for the classical RF model, and from 0.6026 to 1.3757 for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indicating that the model's prediction results are highly sensitive to pH changes in the dry season, which is consistent with the conclusion of the Sobol' index analysis. In the wet season, the perturbation sensitivity of Salt and TDS stabilized at 0.1358 and 0.1616 for the classical RF model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maintaining the highest response intensity.</w:t>
      </w:r>
    </w:p>
    <w:p w14:paraId="3E75AD9F">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The elasticity coefficient analysis quantified the directional response of nitrate concentration prediction to parameter changes. For the classical RF model in the normal season, the elasticity coefficients of T, pH, and EC were all greater than 1, indicating that nitrate concentration has a positive elastic response to the changes of these parameters; while the elasticity coefficient of ORP was only 0.1037, showing an inelastic response. In the dry season, the elasticity coefficient of pH reached 18.5446 (classical RF) and 24.2152 (</w:t>
      </w:r>
      <w:r>
        <w:rPr>
          <w:rFonts w:hint="default" w:ascii="Times New Roman Regular" w:hAnsi="Times New Roman Regular" w:cs="Times New Roman Regular"/>
          <w:color w:val="0000FF"/>
          <w:lang w:val="en-US"/>
        </w:rPr>
        <w:t>quantum-enhanced RF</w:t>
      </w:r>
      <w:r>
        <w:rPr>
          <w:rFonts w:hint="default" w:ascii="Times New Roman Regular" w:hAnsi="Times New Roman Regular" w:cs="Times New Roman Regular"/>
          <w:color w:val="0000FF"/>
        </w:rPr>
        <w:t>) after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showing an extremely strong positive elastic response, which further confirmed that pH is a key sensitive parameter affecting nitrate accumulation in the dry season. In the wet season, the elasticity coefficients of TDS, EC, and Salt were all close to 1, indicating that nitrate concentration has a near-proportional linear response to the changes of these salinity indicators, which is consistent with the dominant dilution effect in the wet season.</w:t>
      </w:r>
    </w:p>
    <w:p w14:paraId="4D8E6CD9">
      <w:pPr>
        <w:spacing w:line="300" w:lineRule="auto"/>
        <w:ind w:firstLine="0"/>
        <w:rPr>
          <w:rFonts w:hint="default" w:ascii="Times New Roman Regular" w:hAnsi="Times New Roman Regular" w:cs="Times New Roman Regular"/>
          <w:color w:val="0000FF"/>
        </w:rPr>
      </w:pPr>
    </w:p>
    <w:p w14:paraId="11DB230D">
      <w:pPr>
        <w:spacing w:line="300" w:lineRule="auto"/>
        <w:ind w:firstLine="0"/>
        <w:outlineLvl w:val="2"/>
        <w:rPr>
          <w:rFonts w:hint="default" w:ascii="Times New Roman Regular" w:hAnsi="Times New Roman Regular" w:cs="Times New Roman Regular"/>
          <w:color w:val="0000FF"/>
        </w:rPr>
      </w:pPr>
      <w:r>
        <w:rPr>
          <w:rFonts w:hint="default" w:ascii="Times New Roman Regular" w:hAnsi="Times New Roman Regular" w:cs="Times New Roman Regular"/>
          <w:color w:val="0000FF"/>
        </w:rPr>
        <w:t>3.</w:t>
      </w:r>
      <w:r>
        <w:rPr>
          <w:rFonts w:hint="eastAsia" w:ascii="Times New Roman Regular" w:hAnsi="Times New Roman Regular" w:cs="Times New Roman Regular"/>
          <w:color w:val="0000FF"/>
          <w:lang w:val="en-US" w:eastAsia="zh-CN"/>
        </w:rPr>
        <w:t>6</w:t>
      </w:r>
      <w:r>
        <w:rPr>
          <w:rFonts w:hint="default" w:ascii="Times New Roman Regular" w:hAnsi="Times New Roman Regular" w:cs="Times New Roman Regular"/>
          <w:color w:val="0000FF"/>
        </w:rPr>
        <w:t xml:space="preserve">.3 Impact of virtual sample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on sensitivity estimation</w:t>
      </w:r>
    </w:p>
    <w:p w14:paraId="0383AADE">
      <w:pPr>
        <w:spacing w:line="300" w:lineRule="auto"/>
        <w:ind w:firstLine="420"/>
        <w:rPr>
          <w:rFonts w:hint="default" w:ascii="Times New Roman Regular" w:hAnsi="Times New Roman Regular" w:cs="Times New Roman Regular"/>
          <w:color w:val="0000FF"/>
        </w:rPr>
      </w:pPr>
      <w:r>
        <w:rPr>
          <w:rFonts w:hint="default" w:ascii="Times New Roman Regular" w:hAnsi="Times New Roman Regular" w:cs="Times New Roman Regular"/>
          <w:color w:val="0000FF"/>
          <w:lang w:val="en-US"/>
        </w:rPr>
        <w:t>V</w:t>
      </w:r>
      <w:r>
        <w:rPr>
          <w:rFonts w:hint="default" w:ascii="Times New Roman Regular" w:hAnsi="Times New Roman Regular" w:cs="Times New Roman Regular"/>
          <w:color w:val="0000FF"/>
        </w:rPr>
        <w:t xml:space="preserve">irtual sample </w:t>
      </w:r>
      <w:r>
        <w:rPr>
          <w:rFonts w:hint="eastAsia" w:ascii="Times New Roman Regular" w:hAnsi="Times New Roman Regular" w:cs="Times New Roman Regular"/>
          <w:color w:val="0000FF"/>
          <w:lang w:val="en-US" w:eastAsia="zh-CN"/>
        </w:rPr>
        <w:t xml:space="preserve">generation </w:t>
      </w:r>
      <w:r>
        <w:rPr>
          <w:rFonts w:hint="default" w:ascii="Times New Roman Regular" w:hAnsi="Times New Roman Regular" w:cs="Times New Roman Regular"/>
          <w:color w:val="0000FF"/>
        </w:rPr>
        <w:t>based on the t-SNE-GMM-KNN strategy significantly improved the stability and reliability of parameter sensitivity estimation. For the dry season with the most severe data sparsity, the 95% confidence interval of the Sobol index for TDS in the classical RF model narrowed by 87.9% from the original data to 10</w:t>
      </w:r>
      <w:r>
        <w:rPr>
          <w:rFonts w:hint="default" w:ascii="Times New Roman Regular" w:hAnsi="Times New Roman Regular" w:cs="Times New Roman Regular"/>
          <w:color w:val="0000FF"/>
          <w:lang w:val="en-US"/>
        </w:rPr>
        <w:t>x</w:t>
      </w:r>
      <w:r>
        <w:rPr>
          <w:rFonts w:hint="default" w:ascii="Times New Roman Regular" w:hAnsi="Times New Roman Regular" w:cs="Times New Roman Regular"/>
          <w:color w:val="0000FF"/>
        </w:rPr>
        <w:t xml:space="preserve">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xml:space="preserve">, and the coefficient of variation of the perturbation sensitivity for each parameter decreased by an average of 62.4%. This indicates that the augmented dataset effectively reduces the variance of sensitivity estimation caused by small samples, and avoids the bias of sensitivity ranking caused by insufficient sample representation. Meanwhile, with the increase of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multiples, the sensitivity ranking of core parameters (TDS, EC, Salt) remained stable, while the sensitivity estimation of secondary parameters (ORP, DO, pH) gradually converged, which further verified that the virtual sample generation strategy does not change the inherent hydrochemical driving mechanism, but only improves the statistical robustness of the model.</w:t>
      </w:r>
    </w:p>
    <w:p w14:paraId="5A10F2E5">
      <w:pPr>
        <w:spacing w:line="300" w:lineRule="auto"/>
        <w:ind w:firstLine="420"/>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rPr>
        <w:t xml:space="preserve">In addition, compared with the classical RF model,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 xml:space="preserve">model showed smaller fluctuations in parameter sensitivity under different </w:t>
      </w:r>
      <w:r>
        <w:rPr>
          <w:rFonts w:hint="default" w:ascii="Times New Roman Regular" w:hAnsi="Times New Roman Regular" w:cs="Times New Roman Regular"/>
          <w:color w:val="0000FF"/>
          <w:lang w:val="en-US"/>
        </w:rPr>
        <w:t xml:space="preserve">generation </w:t>
      </w:r>
      <w:r>
        <w:rPr>
          <w:rFonts w:hint="default" w:ascii="Times New Roman Regular" w:hAnsi="Times New Roman Regular" w:cs="Times New Roman Regular"/>
          <w:color w:val="0000FF"/>
        </w:rPr>
        <w:t xml:space="preserve">gradients, especially in the dry season with original data. The coefficient of variation of the total-order Sobol' index for all parameters in the </w:t>
      </w:r>
      <w:r>
        <w:rPr>
          <w:rFonts w:hint="default" w:ascii="Times New Roman Regular" w:hAnsi="Times New Roman Regular" w:cs="Times New Roman Regular"/>
          <w:color w:val="0000FF"/>
          <w:lang w:val="en-US"/>
        </w:rPr>
        <w:t xml:space="preserve">quantum-enhanced RF </w:t>
      </w:r>
      <w:r>
        <w:rPr>
          <w:rFonts w:hint="default" w:ascii="Times New Roman Regular" w:hAnsi="Times New Roman Regular" w:cs="Times New Roman Regular"/>
          <w:color w:val="0000FF"/>
        </w:rPr>
        <w:t>model was 21.7% lower than that in the classical RF model, indicating that quantum feature encoding enhances the model's robustness to input parameter perturbations, and has better stability in small-sample scenarios.</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Overall, the multi-dimensional sensitivity analysis consistently identified TDS, EC, and salinity as the most critical and stable sensitive parameters for nitrate concentration prediction across all hydrological seasons, which is highly consistent with the results of correlation analysis, Bayesian model, and SHAP feature importance analysis. The pH and DO in the dry season, and ORP in the wet season were identified as season-specific key sensitive parameters, which revealed the differentiated driving mechanisms of nitrate dynamics under different hydrological conditions. The sensitivity analysis results further verified the reliability of the model structure and feature selection, and provided a quantitative basis for the optimization of field monitoring indicators and the targeted control of groundwater nitrate pollution.</w:t>
      </w:r>
    </w:p>
    <w:p w14:paraId="1922386D">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60985A2D">
      <w:pPr>
        <w:spacing w:line="300" w:lineRule="auto"/>
        <w:ind w:firstLine="0"/>
        <w:outlineLvl w:val="1"/>
        <w:rPr>
          <w:rFonts w:hint="default" w:ascii="Times New Roman Regular" w:hAnsi="Times New Roman Regular" w:cs="Times New Roman Regular"/>
          <w:color w:val="0000FF"/>
          <w:lang w:val="en-US"/>
        </w:rPr>
      </w:pPr>
      <w:r>
        <w:rPr>
          <w:rFonts w:hint="default" w:ascii="Times New Roman Regular" w:hAnsi="Times New Roman Regular" w:cs="Times New Roman Regular"/>
          <w:color w:val="0000FF"/>
          <w:lang w:val="en-US"/>
        </w:rPr>
        <w:t>4.3 Error propagation under virtual sample</w:t>
      </w:r>
    </w:p>
    <w:p w14:paraId="35ED22AC">
      <w:pPr>
        <w:spacing w:line="300" w:lineRule="auto"/>
        <w:ind w:firstLine="420"/>
        <w:rPr>
          <w:rFonts w:hint="eastAsia" w:ascii="Times New Roman Regular" w:hAnsi="Times New Roman Regular" w:cs="Times New Roman Regular"/>
          <w:color w:val="0000FF"/>
        </w:rPr>
      </w:pPr>
      <w:r>
        <w:rPr>
          <w:rFonts w:hint="eastAsia" w:ascii="Times New Roman Regular" w:hAnsi="Times New Roman Regular" w:cs="Times New Roman Regular"/>
          <w:color w:val="0000FF"/>
        </w:rPr>
        <w:t>Assuming a coefficient of variation (CV) of 5.0% for input hydrochemical parameters (representing typical instrumental uncertainty), we generated 500 perturbed input realizations and quantified the resulting output uncertainty via standard deviation</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and 95% confidence interval</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 width of ensemble predictions.</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As illustrated in </w:t>
      </w:r>
      <w:r>
        <w:rPr>
          <w:rFonts w:hint="eastAsia" w:ascii="Times New Roman Regular" w:hAnsi="Times New Roman Regular" w:cs="Times New Roman Regular"/>
          <w:color w:val="0000FF"/>
        </w:rPr>
        <w:t xml:space="preserve">Fig. </w:t>
      </w:r>
      <w:r>
        <w:rPr>
          <w:rFonts w:hint="default" w:ascii="Times New Roman Regular" w:hAnsi="Times New Roman Regular" w:cs="Times New Roman Regular"/>
          <w:color w:val="0000FF"/>
          <w:lang w:val="en-US"/>
        </w:rPr>
        <w:t>2</w:t>
      </w:r>
      <w:r>
        <w:rPr>
          <w:rFonts w:hint="eastAsia" w:ascii="Times New Roman Regular" w:hAnsi="Times New Roman Regular" w:cs="Times New Roman Regular"/>
          <w:color w:val="0000FF"/>
          <w:lang w:val="en-US" w:eastAsia="zh-CN"/>
        </w:rPr>
        <w:t>5</w:t>
      </w:r>
      <w:r>
        <w:rPr>
          <w:rFonts w:hint="eastAsia" w:ascii="Times New Roman Regular" w:hAnsi="Times New Roman Regular" w:cs="Times New Roman Regular"/>
          <w:color w:val="0000FF"/>
        </w:rPr>
        <w:t xml:space="preserve">, the propagation of input uncertainties exhibits distinct seasonal and model-dependent patterns. During the normal season, both RF and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 xml:space="preserve">models demonstrated stable uncertainty propagation, with output standard deviations decreasing by 4.5% and 15.8%, respectively, when virtual samples were augmented to 10-fold. This trend suggests that data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effectively constrains uncertainty amplification when the underlying hydrochemical distribution is relatively symmetric</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Dega et al., 2023)</w:t>
      </w:r>
      <w:r>
        <w:rPr>
          <w:rFonts w:hint="eastAsia" w:ascii="Times New Roman Regular" w:hAnsi="Times New Roman Regular" w:cs="Times New Roman Regular"/>
          <w:color w:val="0000FF"/>
        </w:rPr>
        <w:t>.</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 xml:space="preserve">In contrast, the dry season revealed a critical divergence between the two modeling approaches. For the classical RF, output uncertainty increased substantially with virtual sample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(σ_out : +48.9%; 95% CI width: +35.9%), reflecting the challenge of modeling highly right-skewed nitrate distributions where extreme values dominate error propagation. </w:t>
      </w:r>
      <w:r>
        <w:rPr>
          <w:rFonts w:hint="default" w:ascii="Times New Roman Regular" w:hAnsi="Times New Roman Regular" w:cs="Times New Roman Regular"/>
          <w:color w:val="0000FF"/>
          <w:lang w:val="en-US"/>
        </w:rPr>
        <w:t>T</w:t>
      </w:r>
      <w:r>
        <w:rPr>
          <w:rFonts w:hint="eastAsia" w:ascii="Times New Roman Regular" w:hAnsi="Times New Roman Regular" w:cs="Times New Roman Regular"/>
          <w:color w:val="0000FF"/>
        </w:rPr>
        <w:t>he hybrid quantum-</w:t>
      </w:r>
      <w:r>
        <w:rPr>
          <w:rFonts w:hint="default" w:ascii="Times New Roman Regular" w:hAnsi="Times New Roman Regular" w:cs="Times New Roman Regular"/>
          <w:color w:val="0000FF"/>
          <w:lang w:val="en-US"/>
        </w:rPr>
        <w:t xml:space="preserve">enhanced </w:t>
      </w:r>
      <w:r>
        <w:rPr>
          <w:rFonts w:hint="eastAsia" w:ascii="Times New Roman Regular" w:hAnsi="Times New Roman Regular" w:cs="Times New Roman Regular"/>
          <w:color w:val="0000FF"/>
        </w:rPr>
        <w:t xml:space="preserve">RF exhibited markedly improved robustness: output standard deviation decreased by 27.9% and 95% CI width narrowed by 20.6% at 10-fold </w:t>
      </w:r>
      <w:r>
        <w:rPr>
          <w:rFonts w:hint="default" w:ascii="Times New Roman Regular" w:hAnsi="Times New Roman Regular" w:cs="Times New Roman Regular"/>
          <w:color w:val="0000FF"/>
          <w:lang w:val="en-US"/>
        </w:rPr>
        <w:t>generation</w:t>
      </w:r>
      <w:r>
        <w:rPr>
          <w:rFonts w:hint="eastAsia" w:ascii="Times New Roman Regular" w:hAnsi="Times New Roman Regular" w:cs="Times New Roman Regular"/>
          <w:color w:val="0000FF"/>
        </w:rPr>
        <w:t>. This finding suggests that quantum feature encoding via Pauli-Z expectation values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s capacity to disentangle complex nonlinear relationships in high-variability regimes, thereby mitigating the amplification of input errors through the prediction pipeline.</w:t>
      </w:r>
      <w:r>
        <w:rPr>
          <w:rFonts w:hint="default" w:ascii="Times New Roman Regular" w:hAnsi="Times New Roman Regular" w:cs="Times New Roman Regular"/>
          <w:color w:val="0000FF"/>
          <w:lang w:val="en-US"/>
        </w:rPr>
        <w:t xml:space="preserve"> </w:t>
      </w:r>
      <w:r>
        <w:rPr>
          <w:rFonts w:hint="eastAsia" w:ascii="Times New Roman Regular" w:hAnsi="Times New Roman Regular" w:cs="Times New Roman Regular"/>
          <w:color w:val="0000FF"/>
        </w:rPr>
        <w:t>During the wet season, both models achieved low and stable output uncertainties (σ_out &lt; 2.1 mg L</w:t>
      </w:r>
      <w:r>
        <w:rPr>
          <w:rFonts w:hint="default" w:ascii="Times New Roman Regular" w:hAnsi="Times New Roman Regular" w:cs="Times New Roman Regular"/>
          <w:color w:val="0000FF"/>
          <w:vertAlign w:val="superscript"/>
          <w:lang w:val="en-US"/>
        </w:rPr>
        <w:t>-1</w:t>
      </w:r>
      <w:r>
        <w:rPr>
          <w:rFonts w:hint="eastAsia" w:ascii="Times New Roman Regular" w:hAnsi="Times New Roman Regular" w:cs="Times New Roman Regular"/>
          <w:color w:val="0000FF"/>
        </w:rPr>
        <w:t xml:space="preserve"> for RF; &lt; 2.0 mg L</w:t>
      </w:r>
      <w:r>
        <w:rPr>
          <w:rFonts w:hint="default" w:ascii="Times New Roman Regular" w:hAnsi="Times New Roman Regular" w:cs="Times New Roman Regular"/>
          <w:color w:val="0000FF"/>
          <w:vertAlign w:val="superscript"/>
          <w:lang w:val="en-US"/>
        </w:rPr>
        <w:t>-1</w:t>
      </w:r>
      <w:r>
        <w:rPr>
          <w:rFonts w:hint="eastAsia" w:ascii="Times New Roman Regular" w:hAnsi="Times New Roman Regular" w:cs="Times New Roman Regular"/>
          <w:color w:val="0000FF"/>
        </w:rPr>
        <w:t xml:space="preserve"> for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at 10</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xml:space="preserve"> </w:t>
      </w:r>
      <w:r>
        <w:rPr>
          <w:rFonts w:hint="eastAsia" w:ascii="Times New Roman Regular" w:hAnsi="Times New Roman Regular" w:cs="Times New Roman Regular"/>
          <w:color w:val="0000FF"/>
          <w:lang w:val="en-US" w:eastAsia="zh-CN"/>
        </w:rPr>
        <w:t>generation</w:t>
      </w:r>
      <w:r>
        <w:rPr>
          <w:rFonts w:hint="eastAsia" w:ascii="Times New Roman Regular" w:hAnsi="Times New Roman Regular" w:cs="Times New Roman Regular"/>
          <w:color w:val="0000FF"/>
        </w:rPr>
        <w:t xml:space="preserve">), consistent with the dilution-dominated hydrological conditions that homogenize nitrate concentrations. The </w:t>
      </w:r>
      <w:r>
        <w:rPr>
          <w:rFonts w:hint="default" w:ascii="Times New Roman Regular" w:hAnsi="Times New Roman Regular" w:cs="Times New Roman Regular"/>
          <w:color w:val="0000FF"/>
          <w:lang w:val="en-US"/>
        </w:rPr>
        <w:t xml:space="preserve">quantum-enhanced RF </w:t>
      </w:r>
      <w:r>
        <w:rPr>
          <w:rFonts w:hint="eastAsia" w:ascii="Times New Roman Regular" w:hAnsi="Times New Roman Regular" w:cs="Times New Roman Regular"/>
          <w:color w:val="0000FF"/>
        </w:rPr>
        <w:t>again showed slightly stronger uncertainty suppression (-28.7% vs. -7.8% for RF), though the absolute gains were modest given the inherently lower system variability.</w:t>
      </w:r>
    </w:p>
    <w:p w14:paraId="79E5B55D">
      <w:pPr>
        <w:spacing w:line="300" w:lineRule="auto"/>
        <w:ind w:firstLine="420"/>
        <w:rPr>
          <w:rFonts w:hint="eastAsia" w:ascii="Times New Roman Regular" w:hAnsi="Times New Roman Regular" w:cs="Times New Roman Regular" w:eastAsiaTheme="minorEastAsia"/>
          <w:color w:val="0000FF"/>
          <w:lang w:val="en-US" w:eastAsia="zh-CN"/>
        </w:rPr>
      </w:pPr>
      <w:r>
        <w:rPr>
          <w:rFonts w:hint="eastAsia" w:ascii="Times New Roman Regular" w:hAnsi="Times New Roman Regular" w:cs="Times New Roman Regular"/>
          <w:color w:val="0000FF"/>
        </w:rPr>
        <w:t>These error propagation results validate that the t-SNE-GMM-KNN virtual sample generation strategy not only improves predictive accuracy but also enhances the model</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xml:space="preserve">s resilience to input measurement uncertainties, provided the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 xml:space="preserve">factor is appropriately calibrated to the underlying data distribution complexity. For high-variability seasons (dry season), moderate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(4</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5</w:t>
      </w:r>
      <w:r>
        <w:rPr>
          <w:rFonts w:hint="eastAsia" w:ascii="Times New Roman Regular" w:hAnsi="Times New Roman Regular" w:cs="Times New Roman Regular"/>
          <w:color w:val="0000FF"/>
          <w:lang w:val="en-US" w:eastAsia="zh-CN"/>
        </w:rPr>
        <w:t>x</w:t>
      </w:r>
      <w:r>
        <w:rPr>
          <w:rFonts w:hint="eastAsia" w:ascii="Times New Roman Regular" w:hAnsi="Times New Roman Regular" w:cs="Times New Roman Regular"/>
          <w:color w:val="0000FF"/>
        </w:rPr>
        <w:t xml:space="preserve">) appears optimal for uncertainty reduction, whereas excessive </w:t>
      </w:r>
      <w:r>
        <w:rPr>
          <w:rFonts w:hint="default" w:ascii="Times New Roman Regular" w:hAnsi="Times New Roman Regular" w:cs="Times New Roman Regular"/>
          <w:color w:val="0000FF"/>
          <w:lang w:val="en-US"/>
        </w:rPr>
        <w:t xml:space="preserve">generation </w:t>
      </w:r>
      <w:r>
        <w:rPr>
          <w:rFonts w:hint="eastAsia" w:ascii="Times New Roman Regular" w:hAnsi="Times New Roman Regular" w:cs="Times New Roman Regular"/>
          <w:color w:val="0000FF"/>
        </w:rPr>
        <w:t>(&gt;8</w:t>
      </w:r>
      <w:r>
        <w:rPr>
          <w:rFonts w:hint="default" w:ascii="Times New Roman Regular" w:hAnsi="Times New Roman Regular" w:cs="Times New Roman Regular"/>
          <w:color w:val="0000FF"/>
          <w:lang w:val="en-US"/>
        </w:rPr>
        <w:t>x</w:t>
      </w:r>
      <w:r>
        <w:rPr>
          <w:rFonts w:hint="eastAsia" w:ascii="Times New Roman Regular" w:hAnsi="Times New Roman Regular" w:cs="Times New Roman Regular"/>
          <w:color w:val="0000FF"/>
        </w:rPr>
        <w:t>) may reintroduce variance in classical models. The hybrid quantum-classical architecture demonstrates particular value in stabilizing error propagation under extreme hydrological conditions, where traditional methods may suffer from uncertainty amplification.</w:t>
      </w:r>
      <w:r>
        <w:rPr>
          <w:rFonts w:hint="eastAsia" w:ascii="Times New Roman Regular" w:hAnsi="Times New Roman Regular" w:cs="Times New Roman Regular"/>
          <w:color w:val="0000FF"/>
          <w:lang w:val="en-US" w:eastAsia="zh-CN"/>
        </w:rPr>
        <w:t xml:space="preserve"> Error propagation analysis provides a quantitative measurement standard beyond conventional accuracy indicators (such as R</w:t>
      </w:r>
      <w:r>
        <w:rPr>
          <w:rFonts w:hint="eastAsia" w:ascii="Times New Roman Regular" w:hAnsi="Times New Roman Regular" w:cs="Times New Roman Regular"/>
          <w:color w:val="0000FF"/>
          <w:vertAlign w:val="superscript"/>
          <w:lang w:val="en-US" w:eastAsia="zh-CN"/>
        </w:rPr>
        <w:t>2</w:t>
      </w:r>
      <w:r>
        <w:rPr>
          <w:rFonts w:hint="eastAsia" w:ascii="Times New Roman Regular" w:hAnsi="Times New Roman Regular" w:cs="Times New Roman Regular"/>
          <w:color w:val="0000FF"/>
          <w:lang w:val="en-US" w:eastAsia="zh-CN"/>
        </w:rPr>
        <w:t>, RMSE) for evaluating the robustness of the model. This is particularly significant in small sample environment modeling, as the risk of overfitting increases in such cases. Secondly, the excellent uncertainty control ability of quan</w:t>
      </w:r>
      <w:r>
        <w:rPr>
          <w:rFonts w:hint="default" w:ascii="Times New Roman Regular" w:hAnsi="Times New Roman Regular" w:cs="Times New Roman Regular"/>
          <w:color w:val="0000FF"/>
          <w:lang w:val="en-US" w:eastAsia="zh-CN"/>
        </w:rPr>
        <w:t xml:space="preserve">tum-enhanced RF </w:t>
      </w:r>
      <w:r>
        <w:rPr>
          <w:rFonts w:hint="eastAsia" w:ascii="Times New Roman Regular" w:hAnsi="Times New Roman Regular" w:cs="Times New Roman Regular"/>
          <w:color w:val="0000FF"/>
          <w:lang w:val="en-US" w:eastAsia="zh-CN"/>
        </w:rPr>
        <w:t>in the dry season validates the theoretical advantages of the quantum-enhanced feature space in capturing heavy-tailed, nonlinear geological chemical processes. Finally, the seasonal uncertainty model reinforces the necessity of a hydrological seasonal hierarchical modeling framework for predicting groundwater nitrate, as a single unified model may not adequately represent the complex error structure under different hydrological conditions.</w:t>
      </w:r>
    </w:p>
    <w:p w14:paraId="50F5988B">
      <w:pPr>
        <w:spacing w:line="300" w:lineRule="auto"/>
        <w:ind w:firstLine="0"/>
        <w:rPr>
          <w:color w:val="0000FF"/>
        </w:rPr>
      </w:pPr>
      <w:r>
        <w:rPr>
          <w:color w:val="0000FF"/>
        </w:rPr>
        <w:drawing>
          <wp:inline distT="0" distB="0" distL="114300" distR="114300">
            <wp:extent cx="5261610" cy="3507740"/>
            <wp:effectExtent l="0" t="0" r="21590" b="228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5"/>
                    <a:stretch>
                      <a:fillRect/>
                    </a:stretch>
                  </pic:blipFill>
                  <pic:spPr>
                    <a:xfrm>
                      <a:off x="0" y="0"/>
                      <a:ext cx="5261610" cy="3507740"/>
                    </a:xfrm>
                    <a:prstGeom prst="rect">
                      <a:avLst/>
                    </a:prstGeom>
                    <a:noFill/>
                    <a:ln>
                      <a:noFill/>
                    </a:ln>
                  </pic:spPr>
                </pic:pic>
              </a:graphicData>
            </a:graphic>
          </wp:inline>
        </w:drawing>
      </w:r>
    </w:p>
    <w:p w14:paraId="3B40D5D9">
      <w:pPr>
        <w:spacing w:line="300" w:lineRule="auto"/>
        <w:ind w:firstLine="0"/>
        <w:jc w:val="center"/>
        <w:rPr>
          <w:rFonts w:hint="default" w:ascii="Times New Roman Regular" w:hAnsi="Times New Roman Regular" w:cs="Times New Roman Regular"/>
          <w:color w:val="0000FF"/>
          <w:lang w:val="en-US"/>
        </w:rPr>
      </w:pPr>
      <w:r>
        <w:rPr>
          <w:rFonts w:hint="default" w:ascii="Times New Roman Bold" w:hAnsi="Times New Roman Bold" w:cs="Times New Roman Bold"/>
          <w:b/>
          <w:bCs/>
          <w:color w:val="0000FF"/>
          <w:lang w:val="en-US"/>
        </w:rPr>
        <w:t>Fig. 2</w:t>
      </w:r>
      <w:r>
        <w:rPr>
          <w:rFonts w:hint="eastAsia" w:ascii="Times New Roman Bold" w:hAnsi="Times New Roman Bold" w:cs="Times New Roman Bold"/>
          <w:b/>
          <w:bCs/>
          <w:color w:val="0000FF"/>
          <w:lang w:val="en-US" w:eastAsia="zh-CN"/>
        </w:rPr>
        <w:t>5</w:t>
      </w:r>
      <w:r>
        <w:rPr>
          <w:rFonts w:hint="default" w:ascii="Times New Roman Regular" w:hAnsi="Times New Roman Regular" w:cs="Times New Roman Regular"/>
          <w:color w:val="0000FF"/>
          <w:lang w:val="en-US"/>
        </w:rPr>
        <w:t>. Variation of output standard deviation of classical Random Forest and quantum-enhanced Random Forest with virtual sample generation multiples under 5% input coefficient of variation in normal, dry and wet seasons.</w:t>
      </w:r>
    </w:p>
    <w:p w14:paraId="50C7B824">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358A0585">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2618AC15">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 xml:space="preserve">The manuscript would benefit from a clearer goal, explain in the manuscript why what you did is relevant and how results can be used.  </w:t>
      </w:r>
    </w:p>
    <w:p w14:paraId="356E037F">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eastAsia="zh-CN"/>
        </w:rPr>
      </w:pPr>
    </w:p>
    <w:p w14:paraId="3C9FED0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We sincerely appreciate your constructive and insightful comment on our manuscript. Your suggestion has greatly helped us clarify the core research goal, elaborate the scientific and practical relevance of our work, and explicitly illustrate the application scenarios of our research results. </w:t>
      </w:r>
    </w:p>
    <w:p w14:paraId="653FABED">
      <w:pPr>
        <w:keepNext w:val="0"/>
        <w:keepLines w:val="0"/>
        <w:pageBreakBefore w:val="0"/>
        <w:widowControl/>
        <w:suppressLineNumbers w:val="0"/>
        <w:kinsoku/>
        <w:wordWrap/>
        <w:overflowPunct/>
        <w:topLinePunct w:val="0"/>
        <w:autoSpaceDE/>
        <w:autoSpaceDN/>
        <w:bidi w:val="0"/>
        <w:adjustRightInd/>
        <w:snapToGrid/>
        <w:spacing w:line="300" w:lineRule="auto"/>
        <w:ind w:firstLine="420" w:firstLineChars="0"/>
        <w:jc w:val="both"/>
        <w:textAlignment w:val="auto"/>
      </w:pPr>
      <w:r>
        <w:rPr>
          <w:rFonts w:hint="default" w:ascii="Times New Roman Regular" w:hAnsi="Times New Roman Regular" w:cs="Times New Roman Regular"/>
          <w:color w:val="0000FF"/>
          <w:lang w:val="en-US" w:eastAsia="zh-CN"/>
        </w:rPr>
        <w:t>We refined the core research goal, practical relevance, and explicit application pathways of our work at the end of the Abstract section, to help readers quickly capture the value and usability of our study. We reorganized the final paragraph at the end of the Introduction that explicitly states the three primary objectives of this study: (i) development of the t-SNE-GMM-KNN virtual sample generation strategy, (ii) construction of the hybrid quantum-classical Random Forest architecture, and (iii) evaluation of AEF embeddings for unmonitored regions. This eliminates any ambiguity regarding the study’s purpose.</w:t>
      </w:r>
    </w:p>
    <w:p w14:paraId="59C93D9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color w:val="0000FF"/>
          <w:lang w:val="en-US" w:eastAsia="zh-CN"/>
        </w:rPr>
      </w:pPr>
    </w:p>
    <w:p w14:paraId="7B03BEC8">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222D62FC">
      <w:pPr>
        <w:spacing w:line="300" w:lineRule="auto"/>
        <w:ind w:firstLine="420"/>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rPr>
        <w:t>The North China Plain, an important agricultural production region in China, is characterized by high nitrogen input intensity and significant seasonal hydrological variations, making it an area prone to groundwater nitrate pollution</w:t>
      </w:r>
      <w:r>
        <w:rPr>
          <w:rFonts w:hint="default" w:ascii="Times New Roman Regular" w:hAnsi="Times New Roman Regular" w:cs="Times New Roman Regular"/>
          <w:color w:val="0000FF"/>
          <w:lang w:val="en-US"/>
        </w:rPr>
        <w:t xml:space="preserve"> (</w:t>
      </w:r>
      <w:r>
        <w:rPr>
          <w:rFonts w:hint="default" w:ascii="Times New Roman Regular" w:hAnsi="Times New Roman Regular" w:cs="Times New Roman Regular"/>
          <w:color w:val="0000FF"/>
        </w:rPr>
        <w:t>Liu</w:t>
      </w:r>
      <w:r>
        <w:rPr>
          <w:rFonts w:hint="default" w:ascii="Times New Roman Regular" w:hAnsi="Times New Roman Regular" w:cs="Times New Roman Regular"/>
          <w:color w:val="0000FF"/>
          <w:lang w:val="en-US"/>
        </w:rPr>
        <w:t xml:space="preserve"> et al., 2025; </w:t>
      </w:r>
      <w:r>
        <w:rPr>
          <w:rFonts w:hint="default" w:ascii="Times New Roman Regular" w:hAnsi="Times New Roman Regular" w:cs="Times New Roman Regular"/>
          <w:color w:val="0000FF"/>
          <w:lang w:val="en-US" w:eastAsia="zh-CN"/>
        </w:rPr>
        <w:t>Hou et al., 2025</w:t>
      </w:r>
      <w:r>
        <w:rPr>
          <w:rFonts w:hint="default" w:ascii="Times New Roman Regular" w:hAnsi="Times New Roman Regular" w:cs="Times New Roman Regular"/>
          <w:color w:val="0000FF"/>
          <w:lang w:val="en-US"/>
        </w:rPr>
        <w:t>)</w:t>
      </w:r>
      <w:r>
        <w:rPr>
          <w:rFonts w:hint="eastAsia" w:ascii="Times New Roman Regular" w:hAnsi="Times New Roman Regular" w:cs="Times New Roman Regular"/>
          <w:color w:val="0000FF"/>
        </w:rPr>
        <w:t>. Conducting field-scale research on nitrate pollution in this region is of great significance for the protection of regional water resources</w:t>
      </w:r>
      <w:r>
        <w:rPr>
          <w:rFonts w:hint="default" w:ascii="Times New Roman Regular" w:hAnsi="Times New Roman Regular" w:cs="Times New Roman Regular"/>
          <w:color w:val="0000FF"/>
          <w:lang w:val="en-US"/>
        </w:rPr>
        <w:t>. The Xiong’an New Area was specifically selected as the core study site due to its unique combination of national strategic ecological importance, representative hydrogeological conditions, and severe pollution characteristics that exemplify regional challenges. Quantitatively, Hebei Province reported a groundwater nitrate exceedance rate of 31.66% in 2017, significantly higher than the national average, with Xiong'an situated in the heart of this high-risk zone (</w:t>
      </w:r>
      <w:r>
        <w:rPr>
          <w:rFonts w:hint="default" w:ascii="Times New Roman Regular" w:hAnsi="Times New Roman Regular" w:cs="Times New Roman Regular"/>
          <w:color w:val="0000FF"/>
          <w:lang w:val="en-US" w:eastAsia="zh-CN"/>
        </w:rPr>
        <w:t>Xiong et al., 2025</w:t>
      </w:r>
      <w:r>
        <w:rPr>
          <w:rFonts w:hint="default" w:ascii="Times New Roman Regular" w:hAnsi="Times New Roman Regular" w:cs="Times New Roman Regular"/>
          <w:color w:val="0000FF"/>
          <w:lang w:val="en-US"/>
        </w:rPr>
        <w:t>). Furthermore, the study site represents a typical high-intensity agricultural system with annual nitrogen inputs ranging from 540 to 660 kg N ha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coupled with a shallow groundwater table (5.0-20.0</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rPr>
        <w:t>m) highly susceptible to surface loading (</w:t>
      </w:r>
      <w:r>
        <w:rPr>
          <w:rFonts w:hint="default" w:ascii="Times New Roman Regular" w:hAnsi="Times New Roman Regular" w:cs="Times New Roman Regular"/>
          <w:color w:val="0000FF"/>
          <w:lang w:val="en-US" w:eastAsia="zh-CN"/>
        </w:rPr>
        <w:t>Xu et al., 2022</w:t>
      </w:r>
      <w:r>
        <w:rPr>
          <w:rFonts w:hint="default" w:ascii="Times New Roman Regular" w:hAnsi="Times New Roman Regular" w:cs="Times New Roman Regular"/>
          <w:color w:val="0000FF"/>
          <w:lang w:val="en-US"/>
        </w:rPr>
        <w:t>). Moreover, existing investigations reveal severe anthropogenic impacts including legacy nitrogen accumulation (~320 kg N ha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xml:space="preserve"> a</w:t>
      </w:r>
      <w:r>
        <w:rPr>
          <w:rFonts w:hint="default" w:ascii="Times New Roman Regular" w:hAnsi="Times New Roman Regular" w:cs="Times New Roman Regular"/>
          <w:color w:val="0000FF"/>
          <w:vertAlign w:val="superscript"/>
          <w:lang w:val="en-US"/>
        </w:rPr>
        <w:t>-1</w:t>
      </w:r>
      <w:r>
        <w:rPr>
          <w:rFonts w:hint="default" w:ascii="Times New Roman Regular" w:hAnsi="Times New Roman Regular" w:cs="Times New Roman Regular"/>
          <w:color w:val="0000FF"/>
          <w:lang w:val="en-US"/>
        </w:rPr>
        <w:t xml:space="preserve"> surplus) and sewage irrigation contributing up to 58.3% of groundwater chemical signatures. This setting provides an ideal natural laboratory for testing seasonal prediction frameworks, as the distinct monsoonal climate (60%-80% precipitation concentrated in summer) creates pronounced hydrochemical contrasts between dry, wet, and normal seasons, directly challenging model robustness under data sparsity.</w:t>
      </w:r>
      <w:r>
        <w:rPr>
          <w:rFonts w:ascii="Times New Roman Regular" w:hAnsi="Times New Roman Regular" w:cs="Times New Roman Regular"/>
          <w:color w:val="0000FF"/>
        </w:rPr>
        <w:t xml:space="preserve"> (Xu et al., 2022)</w:t>
      </w:r>
      <w:r>
        <w:rPr>
          <w:rFonts w:hint="eastAsia" w:ascii="Times New Roman Regular" w:hAnsi="Times New Roman Regular" w:cs="Times New Roman Regular"/>
          <w:color w:val="0000FF"/>
        </w:rPr>
        <w:t>. A mechanistic understanding of how nitrate concentrations vary across these hydrological seasons (normal, dry, wet) and their controlling factors is crucial for regional water resource management.</w:t>
      </w:r>
      <w:r>
        <w:rPr>
          <w:rFonts w:hint="eastAsia" w:ascii="Times New Roman Regular" w:hAnsi="Times New Roman Regular" w:cs="Times New Roman Regular"/>
          <w:color w:val="0000FF"/>
          <w:lang w:val="en-US" w:eastAsia="zh-CN"/>
        </w:rPr>
        <w:t xml:space="preserve"> To address the critical gaps outlined above, this study establishes three clear objectives: (1) to develop a t-SNE-GMM-KNN virtual sample generation strategy that preserves geochemical manifold structure while expanding small datasets for robust seasonal modeling; (2) to construct a hybrid quantum-classical Random Forest architecture that enhances feature discriminability without quantum hardware limitations, specifically targeting the high variability and data scarcity characteristic of dry-season nitrate prediction; and (3) to evaluate the feasibility of AlphaEarth Foundation (AEF) semantic embeddings as standalone predictors for rapid groundwater nitrate screening in unmonitored regions. The relevance of this research lies in its provision of a unified methodological framework that transcends single-site application, offering a scalable solution for seasonal groundwater quality prediction in intensively managed agricultural landscapes worldwide. Practically, the results enable three distinct operational modes: (i) mechanistic analysis using field-measurable parameters (pH, EC, TDS, etc.) to elucidate hydrochemical driving processes; (ii) rapid on-site nitrate estimation using portable multi-parameter meters when laboratory analysis is unavailable; and (iii) large-scale regional risk assessment using remote sensing embeddings for areas lacking monitoring infrastructure. By distinguishing between these application scenarios, the framework provides actionable decision-support tools for water resource managers to implement targeted pollution control measures, optimize monitoring network design, and prioritize remediation efforts across hydrological seasons.</w:t>
      </w:r>
    </w:p>
    <w:p w14:paraId="0611EF4F">
      <w:pPr>
        <w:spacing w:line="300" w:lineRule="auto"/>
        <w:ind w:firstLine="420"/>
        <w:rPr>
          <w:rFonts w:hint="eastAsia"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rPr>
        <w:t>Compared with existing research on groundwater quality prediction based on multiple ML algorithms</w:t>
      </w:r>
      <w:r>
        <w:rPr>
          <w:rFonts w:hint="default" w:ascii="Times New Roman Regular" w:hAnsi="Times New Roman Regular" w:cs="Times New Roman Regular"/>
          <w:color w:val="0000FF"/>
          <w:lang w:val="en-US"/>
        </w:rPr>
        <w:t xml:space="preserve"> and large datasets, the novelty of this paper lies in three aspects:</w:t>
      </w:r>
      <w:r>
        <w:rPr>
          <w:rFonts w:hint="default" w:ascii="Times New Roman Regular" w:hAnsi="Times New Roman Regular" w:cs="Times New Roman Regular"/>
          <w:color w:val="0000FF"/>
        </w:rPr>
        <w:t xml:space="preserve"> (1) the t-SNE-GMM-KNN strategy preserves the non-linear manifold structure of high-dimensional geochemical space during </w:t>
      </w:r>
      <w:r>
        <w:rPr>
          <w:rFonts w:hint="default" w:ascii="Times New Roman Regular" w:hAnsi="Times New Roman Regular" w:cs="Times New Roman Regular"/>
          <w:color w:val="0000FF"/>
          <w:lang w:val="en-US"/>
        </w:rPr>
        <w:t>generation</w:t>
      </w:r>
      <w:r>
        <w:rPr>
          <w:rFonts w:hint="default" w:ascii="Times New Roman Regular" w:hAnsi="Times New Roman Regular" w:cs="Times New Roman Regular"/>
          <w:color w:val="0000FF"/>
        </w:rPr>
        <w:t>; (2) we systematically explore the application of hybrid quantum-classical machine learning in groundwater quality prediction, evaluating its robustness and feature discriminability in small-sample seasonal dynamics; and (3) we conduct a comparative analysis of prediction performance using traditional field observation data versus the first-time application of AlphaEarth Foundation (AEF) semantic embeddings for nitrate estimation.</w:t>
      </w:r>
    </w:p>
    <w:p w14:paraId="3BCE05C5">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p>
    <w:p w14:paraId="41A11D9E">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color w:val="0000FF"/>
          <w:lang w:val="en-US" w:eastAsia="zh-CN"/>
        </w:rPr>
      </w:pPr>
    </w:p>
    <w:p w14:paraId="75136D1D">
      <w:pPr>
        <w:keepNext w:val="0"/>
        <w:keepLines w:val="0"/>
        <w:pageBreakBefore w:val="0"/>
        <w:widowControl w:val="0"/>
        <w:numPr>
          <w:ilvl w:val="0"/>
          <w:numId w:val="1"/>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results section has a paragraph named ‘3.3 Bayesian model analysis and correlation analysis’. These methods are, however, discussed too briefly in the methodology part.</w:t>
      </w:r>
    </w:p>
    <w:p w14:paraId="41F9E0E2">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4C8ACD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appreciate the reviewer’s constructive and insightful comment. We fully agree that the methodological details corresponding to the Bayesian model analysis and correlation analysis in Section 3.3 were insufficiently described in the original manuscript. To address this comment, we have added a complete and detailed subsection 2.7 Bayesian model and Pearson correlation analysis in the Materials and Methods section of the revised manuscript.</w:t>
      </w:r>
    </w:p>
    <w:p w14:paraId="31C494AB">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68657B97">
      <w:pPr>
        <w:keepNext w:val="0"/>
        <w:keepLines w:val="0"/>
        <w:pageBreakBefore w:val="0"/>
        <w:widowControl w:val="0"/>
        <w:numPr>
          <w:ilvl w:val="0"/>
          <w:numId w:val="0"/>
        </w:numPr>
        <w:kinsoku/>
        <w:wordWrap/>
        <w:overflowPunct/>
        <w:topLinePunct w:val="0"/>
        <w:autoSpaceDE/>
        <w:autoSpaceDN/>
        <w:bidi w:val="0"/>
        <w:adjustRightInd/>
        <w:snapToGrid/>
        <w:spacing w:line="300" w:lineRule="auto"/>
        <w:textAlignment w:val="auto"/>
        <w:rPr>
          <w:rFonts w:hint="default" w:ascii="Times New Roman Regular" w:hAnsi="Times New Roman Regular" w:cs="Times New Roman Regular"/>
          <w:lang w:val="en-US" w:eastAsia="zh-CN"/>
        </w:rPr>
      </w:pPr>
      <w:r>
        <w:rPr>
          <w:rFonts w:hint="eastAsia" w:ascii="Times New Roman Regular" w:hAnsi="Times New Roman Regular" w:cs="Times New Roman Regular"/>
          <w:color w:val="0000FF"/>
          <w:lang w:val="en-US" w:eastAsia="zh-CN"/>
        </w:rPr>
        <w:t>The specific modifications are as follows</w:t>
      </w:r>
      <w:r>
        <w:rPr>
          <w:rFonts w:hint="default" w:ascii="Times New Roman Regular" w:hAnsi="Times New Roman Regular" w:cs="Times New Roman Regular"/>
          <w:color w:val="0000FF"/>
          <w:lang w:val="en-US" w:eastAsia="zh-CN"/>
        </w:rPr>
        <w:t>:</w:t>
      </w:r>
    </w:p>
    <w:p w14:paraId="4BFD68AA">
      <w:pPr>
        <w:spacing w:line="300" w:lineRule="auto"/>
        <w:outlineLvl w:val="1"/>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 xml:space="preserve">2.6 Bayesian model and </w:t>
      </w:r>
      <w:r>
        <w:rPr>
          <w:rFonts w:hint="default" w:ascii="Times New Roman Regular" w:hAnsi="Times New Roman Regular" w:cs="Times New Roman Regular"/>
          <w:color w:val="0000FF"/>
          <w:lang w:val="en-US" w:eastAsia="zh-CN"/>
        </w:rPr>
        <w:t xml:space="preserve">Pearson </w:t>
      </w:r>
      <w:r>
        <w:rPr>
          <w:rFonts w:hint="eastAsia" w:ascii="Times New Roman Regular" w:hAnsi="Times New Roman Regular" w:cs="Times New Roman Regular"/>
          <w:color w:val="0000FF"/>
          <w:lang w:val="en-US" w:eastAsia="zh-CN"/>
        </w:rPr>
        <w:t>correlation analysis</w:t>
      </w:r>
    </w:p>
    <w:p w14:paraId="65B88C59">
      <w:pPr>
        <w:spacing w:line="300" w:lineRule="auto"/>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2.6.1 Pearson correlation analysis</w:t>
      </w:r>
    </w:p>
    <w:p w14:paraId="005052F0">
      <w:pPr>
        <w:spacing w:line="300" w:lineRule="auto"/>
        <w:ind w:firstLine="420"/>
        <w:rPr>
          <w:rFonts w:hint="eastAsia"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Pearson correlation coefficients (r) were calculated to quantify the linear relationships between nitrate concentrations and individual hydrochemical parameters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Su</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 xml:space="preserve">. The coefficient </w:t>
      </w:r>
      <w:r>
        <w:rPr>
          <w:rFonts w:hint="default" w:ascii="Times New Roman Italic" w:hAnsi="Times New Roman Italic" w:cs="Times New Roman Italic"/>
          <w:i/>
          <w:iCs/>
          <w:color w:val="0000FF"/>
          <w:lang w:val="en-US" w:eastAsia="zh-CN"/>
        </w:rPr>
        <w:t>r</w:t>
      </w:r>
      <w:r>
        <w:rPr>
          <w:rFonts w:hint="eastAsia" w:ascii="Times New Roman Regular" w:hAnsi="Times New Roman Regular" w:cs="Times New Roman Regular"/>
          <w:color w:val="0000FF"/>
          <w:lang w:val="en-US" w:eastAsia="zh-CN"/>
        </w:rPr>
        <w:t xml:space="preserve"> is defined as:</w:t>
      </w:r>
    </w:p>
    <w:p w14:paraId="68CCFF04">
      <w:pPr>
        <w:spacing w:line="300" w:lineRule="auto"/>
        <w:ind w:firstLine="420"/>
        <w:jc w:val="right"/>
        <w:rPr>
          <w:rFonts w:hint="default" w:ascii="Times New Roman Regular" w:hAnsi="Times New Roman Regular" w:cs="Times New Roman Regular"/>
          <w:color w:val="0000FF"/>
          <w:lang w:val="en-US" w:eastAsia="zh-CN"/>
        </w:rPr>
      </w:pPr>
      <m:oMath>
        <m:r>
          <m:rPr>
            <m:nor/>
          </m:rPr>
          <w:rPr>
            <w:rFonts w:hint="default" w:ascii="DejaVu Math TeX Gyre" w:hAnsi="DejaVu Math TeX Gyre" w:cs="Times New Roman Regular"/>
            <w:i/>
            <w:iCs/>
            <w:color w:val="0000FF"/>
            <w:sz w:val="21"/>
            <w:szCs w:val="21"/>
          </w:rPr>
          <m:t>r=</m:t>
        </m:r>
        <m:f>
          <m:fPr>
            <m:ctrlPr>
              <w:rPr>
                <w:rFonts w:hint="default" w:ascii="DejaVu Math TeX Gyre" w:hAnsi="DejaVu Math TeX Gyre" w:cs="Times New Roman Regular"/>
                <w:i/>
                <w:iCs/>
                <w:color w:val="0000FF"/>
                <w:sz w:val="21"/>
                <w:szCs w:val="21"/>
              </w:rPr>
            </m:ctrlPr>
          </m:fPr>
          <m:num>
            <m:nary>
              <m:naryPr>
                <m:chr m:val="∑"/>
                <m:limLoc m:val="undOvr"/>
                <m:ctrlPr>
                  <w:rPr>
                    <w:rFonts w:hint="default" w:ascii="DejaVu Math TeX Gyre" w:hAnsi="DejaVu Math TeX Gyre" w:cs="Times New Roman Regular"/>
                    <w:i/>
                    <w:iCs/>
                    <w:color w:val="0000FF"/>
                    <w:sz w:val="21"/>
                    <w:szCs w:val="21"/>
                  </w:rPr>
                </m:ctrlPr>
              </m:naryPr>
              <m:sub>
                <m:r>
                  <m:rPr>
                    <m:nor/>
                  </m:rPr>
                  <w:rPr>
                    <w:rFonts w:hint="default" w:ascii="DejaVu Math TeX Gyre" w:hAnsi="DejaVu Math TeX Gyre" w:cs="Times New Roman Regular"/>
                    <w:i/>
                    <w:iCs/>
                    <w:color w:val="0000FF"/>
                    <w:sz w:val="21"/>
                    <w:szCs w:val="21"/>
                  </w:rPr>
                  <m:t>i=1</m:t>
                </m:r>
                <m:ctrlPr>
                  <w:rPr>
                    <w:rFonts w:ascii="DejaVu Math TeX Gyre" w:hAnsi="DejaVu Math TeX Gyre" w:cs="Times New Roman Regular"/>
                    <w:i/>
                    <w:iCs/>
                    <w:color w:val="0000FF"/>
                    <w:sz w:val="21"/>
                    <w:szCs w:val="21"/>
                  </w:rPr>
                </m:ctrlPr>
              </m:sub>
              <m:sup>
                <m:r>
                  <m:rPr>
                    <m:nor/>
                  </m:rPr>
                  <w:rPr>
                    <w:rFonts w:hint="default" w:ascii="DejaVu Math TeX Gyre" w:hAnsi="DejaVu Math TeX Gyre" w:cs="Times New Roman Regular"/>
                    <w:i/>
                    <w:iCs/>
                    <w:color w:val="0000FF"/>
                    <w:sz w:val="21"/>
                    <w:szCs w:val="21"/>
                  </w:rPr>
                  <m:t>n</m:t>
                </m:r>
                <m:ctrlPr>
                  <w:rPr>
                    <w:rFonts w:ascii="DejaVu Math TeX Gyre" w:hAnsi="DejaVu Math TeX Gyre" w:cs="Times New Roman Regular"/>
                    <w:i/>
                    <w:iCs/>
                    <w:color w:val="0000FF"/>
                    <w:sz w:val="21"/>
                    <w:szCs w:val="21"/>
                  </w:rPr>
                </m:ctrlPr>
              </m:sup>
              <m:e>
                <m:r>
                  <m:rPr>
                    <m:nor/>
                  </m:rPr>
                  <w:rPr>
                    <w:rFonts w:hint="default" w:ascii="DejaVu Math TeX Gyre" w:hAnsi="DejaVu Math TeX Gyre" w:cs="Times New Roman Regular"/>
                    <w:i/>
                    <w:iCs/>
                    <w:color w:val="0000FF"/>
                    <w:sz w:val="21"/>
                    <w:szCs w:val="21"/>
                  </w:rPr>
                  <m:t>(</m:t>
                </m:r>
                <m:ctrlPr>
                  <w:rPr>
                    <w:rFonts w:ascii="DejaVu Math TeX Gyre" w:hAnsi="DejaVu Math TeX Gyre" w:cs="Times New Roman Regular"/>
                    <w:i/>
                    <w:iCs/>
                    <w:color w:val="0000FF"/>
                    <w:sz w:val="21"/>
                    <w:szCs w:val="21"/>
                  </w:rPr>
                </m:ctrlPr>
              </m:e>
            </m:nary>
            <m:sSub>
              <m:sSubPr>
                <m:ctrlPr>
                  <w:rPr>
                    <w:rFonts w:hint="default" w:ascii="DejaVu Math TeX Gyre" w:hAnsi="DejaVu Math TeX Gyre" w:cs="Times New Roman Regular"/>
                    <w:i/>
                    <w:iCs/>
                    <w:color w:val="0000FF"/>
                    <w:sz w:val="21"/>
                    <w:szCs w:val="21"/>
                  </w:rPr>
                </m:ctrlPr>
              </m:sSubPr>
              <m:e>
                <m:r>
                  <m:rPr>
                    <m:nor/>
                  </m:rPr>
                  <w:rPr>
                    <w:rFonts w:hint="default" w:ascii="DejaVu Math TeX Gyre" w:hAnsi="DejaVu Math TeX Gyre" w:cs="Times New Roman Regular"/>
                    <w:i/>
                    <w:iCs/>
                    <w:color w:val="0000FF"/>
                    <w:sz w:val="21"/>
                    <w:szCs w:val="21"/>
                  </w:rPr>
                  <m:t>x</m:t>
                </m:r>
                <m:ctrlPr>
                  <w:rPr>
                    <w:rFonts w:ascii="DejaVu Math TeX Gyre" w:hAnsi="DejaVu Math TeX Gyre" w:cs="Times New Roman Regular"/>
                    <w:i/>
                    <w:iCs/>
                    <w:color w:val="0000FF"/>
                    <w:sz w:val="21"/>
                    <w:szCs w:val="21"/>
                  </w:rPr>
                </m:ctrlPr>
              </m:e>
              <m:sub>
                <m:r>
                  <m:rPr>
                    <m:nor/>
                  </m:rPr>
                  <w:rPr>
                    <w:rFonts w:hint="default" w:ascii="DejaVu Math TeX Gyre" w:hAnsi="DejaVu Math TeX Gyre" w:cs="Times New Roman Regular"/>
                    <w:i/>
                    <w:iCs/>
                    <w:color w:val="0000FF"/>
                    <w:sz w:val="21"/>
                    <w:szCs w:val="21"/>
                  </w:rPr>
                  <m:t>i</m:t>
                </m:r>
                <m:ctrlPr>
                  <w:rPr>
                    <w:rFonts w:ascii="DejaVu Math TeX Gyre" w:hAnsi="DejaVu Math TeX Gyre" w:cs="Times New Roman Regular"/>
                    <w:i/>
                    <w:iCs/>
                    <w:color w:val="0000FF"/>
                    <w:sz w:val="21"/>
                    <w:szCs w:val="21"/>
                  </w:rPr>
                </m:ctrlPr>
              </m:sub>
            </m:sSub>
            <m:r>
              <m:rPr>
                <m:nor/>
              </m:rPr>
              <w:rPr>
                <w:rFonts w:hint="default" w:ascii="DejaVu Math TeX Gyre" w:hAnsi="DejaVu Math TeX Gyre" w:cs="Times New Roman Regular"/>
                <w:i/>
                <w:iCs/>
                <w:color w:val="0000FF"/>
                <w:sz w:val="21"/>
                <w:szCs w:val="21"/>
              </w:rPr>
              <m:t>−</m:t>
            </m:r>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x</m:t>
                </m:r>
                <m:ctrlPr>
                  <w:rPr>
                    <w:rFonts w:ascii="DejaVu Math TeX Gyre" w:hAnsi="DejaVu Math TeX Gyre" w:cs="Times New Roman Regular"/>
                    <w:i/>
                    <w:iCs/>
                    <w:color w:val="0000FF"/>
                    <w:sz w:val="21"/>
                    <w:szCs w:val="21"/>
                  </w:rPr>
                </m:ctrlPr>
              </m:e>
            </m:acc>
            <m:r>
              <m:rPr>
                <m:nor/>
              </m:rPr>
              <w:rPr>
                <w:rFonts w:hint="default" w:ascii="DejaVu Math TeX Gyre" w:hAnsi="DejaVu Math TeX Gyre" w:cs="Times New Roman Regular"/>
                <w:i/>
                <w:iCs/>
                <w:color w:val="0000FF"/>
                <w:sz w:val="21"/>
                <w:szCs w:val="21"/>
              </w:rPr>
              <m:t>)(</m:t>
            </m:r>
            <m:sSub>
              <m:sSubPr>
                <m:ctrlPr>
                  <w:rPr>
                    <w:rFonts w:hint="default" w:ascii="DejaVu Math TeX Gyre" w:hAnsi="DejaVu Math TeX Gyre" w:cs="Times New Roman Regular"/>
                    <w:i/>
                    <w:iCs/>
                    <w:color w:val="0000FF"/>
                    <w:sz w:val="21"/>
                    <w:szCs w:val="21"/>
                  </w:rPr>
                </m:ctrlPr>
              </m:sSubPr>
              <m:e>
                <m:r>
                  <m:rPr>
                    <m:nor/>
                  </m:rPr>
                  <w:rPr>
                    <w:rFonts w:hint="default" w:ascii="DejaVu Math TeX Gyre" w:hAnsi="DejaVu Math TeX Gyre" w:cs="Times New Roman Regular"/>
                    <w:i/>
                    <w:iCs/>
                    <w:color w:val="0000FF"/>
                    <w:sz w:val="21"/>
                    <w:szCs w:val="21"/>
                  </w:rPr>
                  <m:t>y</m:t>
                </m:r>
                <m:ctrlPr>
                  <w:rPr>
                    <w:rFonts w:ascii="DejaVu Math TeX Gyre" w:hAnsi="DejaVu Math TeX Gyre" w:cs="Times New Roman Regular"/>
                    <w:i/>
                    <w:iCs/>
                    <w:color w:val="0000FF"/>
                    <w:sz w:val="21"/>
                    <w:szCs w:val="21"/>
                  </w:rPr>
                </m:ctrlPr>
              </m:e>
              <m:sub>
                <m:r>
                  <m:rPr>
                    <m:nor/>
                  </m:rPr>
                  <w:rPr>
                    <w:rFonts w:hint="default" w:ascii="DejaVu Math TeX Gyre" w:hAnsi="DejaVu Math TeX Gyre" w:cs="Times New Roman Regular"/>
                    <w:i/>
                    <w:iCs/>
                    <w:color w:val="0000FF"/>
                    <w:sz w:val="21"/>
                    <w:szCs w:val="21"/>
                  </w:rPr>
                  <m:t>i</m:t>
                </m:r>
                <m:ctrlPr>
                  <w:rPr>
                    <w:rFonts w:ascii="DejaVu Math TeX Gyre" w:hAnsi="DejaVu Math TeX Gyre" w:cs="Times New Roman Regular"/>
                    <w:i/>
                    <w:iCs/>
                    <w:color w:val="0000FF"/>
                    <w:sz w:val="21"/>
                    <w:szCs w:val="21"/>
                  </w:rPr>
                </m:ctrlPr>
              </m:sub>
            </m:sSub>
            <m:r>
              <m:rPr>
                <m:nor/>
              </m:rPr>
              <w:rPr>
                <w:rFonts w:hint="default" w:ascii="DejaVu Math TeX Gyre" w:hAnsi="DejaVu Math TeX Gyre" w:cs="Times New Roman Regular"/>
                <w:i/>
                <w:iCs/>
                <w:color w:val="0000FF"/>
                <w:sz w:val="21"/>
                <w:szCs w:val="21"/>
              </w:rPr>
              <m:t>−</m:t>
            </m:r>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y</m:t>
                </m:r>
                <m:ctrlPr>
                  <w:rPr>
                    <w:rFonts w:ascii="DejaVu Math TeX Gyre" w:hAnsi="DejaVu Math TeX Gyre" w:cs="Times New Roman Regular"/>
                    <w:i/>
                    <w:iCs/>
                    <w:color w:val="0000FF"/>
                    <w:sz w:val="21"/>
                    <w:szCs w:val="21"/>
                  </w:rPr>
                </m:ctrlPr>
              </m:e>
            </m:acc>
            <m:r>
              <m:rPr>
                <m:nor/>
              </m:rPr>
              <w:rPr>
                <w:rFonts w:hint="default" w:ascii="DejaVu Math TeX Gyre" w:hAnsi="DejaVu Math TeX Gyre" w:cs="Times New Roman Regular"/>
                <w:i/>
                <w:iCs/>
                <w:color w:val="0000FF"/>
                <w:sz w:val="21"/>
                <w:szCs w:val="21"/>
              </w:rPr>
              <m:t>)</m:t>
            </m:r>
            <m:ctrlPr>
              <w:rPr>
                <w:rFonts w:hint="default" w:ascii="DejaVu Math TeX Gyre" w:hAnsi="DejaVu Math TeX Gyre" w:cs="Times New Roman Regular"/>
                <w:i/>
                <w:iCs/>
                <w:color w:val="0000FF"/>
                <w:sz w:val="21"/>
                <w:szCs w:val="21"/>
              </w:rPr>
            </m:ctrlPr>
          </m:num>
          <m:den>
            <m:rad>
              <m:radPr>
                <m:degHide m:val="1"/>
                <m:ctrlPr>
                  <w:rPr>
                    <w:rFonts w:hint="default" w:ascii="DejaVu Math TeX Gyre" w:hAnsi="DejaVu Math TeX Gyre" w:cs="Times New Roman Regular"/>
                    <w:i/>
                    <w:iCs/>
                    <w:color w:val="0000FF"/>
                    <w:sz w:val="21"/>
                    <w:szCs w:val="21"/>
                  </w:rPr>
                </m:ctrlPr>
              </m:radPr>
              <m:deg>
                <m:ctrlPr>
                  <w:rPr>
                    <w:rFonts w:ascii="DejaVu Math TeX Gyre" w:hAnsi="DejaVu Math TeX Gyre" w:cs="Times New Roman Regular"/>
                    <w:i/>
                    <w:iCs/>
                    <w:color w:val="0000FF"/>
                    <w:sz w:val="21"/>
                    <w:szCs w:val="21"/>
                  </w:rPr>
                </m:ctrlPr>
              </m:deg>
              <m:e>
                <m:nary>
                  <m:naryPr>
                    <m:chr m:val="∑"/>
                    <m:limLoc m:val="undOvr"/>
                    <m:ctrlPr>
                      <w:rPr>
                        <w:rFonts w:hint="default" w:ascii="DejaVu Math TeX Gyre" w:hAnsi="DejaVu Math TeX Gyre" w:cs="Times New Roman Regular"/>
                        <w:i/>
                        <w:iCs/>
                        <w:color w:val="0000FF"/>
                        <w:sz w:val="21"/>
                        <w:szCs w:val="21"/>
                      </w:rPr>
                    </m:ctrlPr>
                  </m:naryPr>
                  <m:sub>
                    <m:r>
                      <m:rPr>
                        <m:nor/>
                      </m:rPr>
                      <w:rPr>
                        <w:rFonts w:hint="default" w:ascii="DejaVu Math TeX Gyre" w:hAnsi="DejaVu Math TeX Gyre" w:cs="Times New Roman Regular"/>
                        <w:i/>
                        <w:iCs/>
                        <w:color w:val="0000FF"/>
                        <w:sz w:val="21"/>
                        <w:szCs w:val="21"/>
                      </w:rPr>
                      <m:t>i=1</m:t>
                    </m:r>
                    <m:ctrlPr>
                      <w:rPr>
                        <w:rFonts w:ascii="DejaVu Math TeX Gyre" w:hAnsi="DejaVu Math TeX Gyre" w:cs="Times New Roman Regular"/>
                        <w:i/>
                        <w:iCs/>
                        <w:color w:val="0000FF"/>
                        <w:sz w:val="21"/>
                        <w:szCs w:val="21"/>
                      </w:rPr>
                    </m:ctrlPr>
                  </m:sub>
                  <m:sup>
                    <m:r>
                      <m:rPr>
                        <m:nor/>
                      </m:rPr>
                      <w:rPr>
                        <w:rFonts w:hint="default" w:ascii="DejaVu Math TeX Gyre" w:hAnsi="DejaVu Math TeX Gyre" w:cs="Times New Roman Regular"/>
                        <w:i/>
                        <w:iCs/>
                        <w:color w:val="0000FF"/>
                        <w:sz w:val="21"/>
                        <w:szCs w:val="21"/>
                      </w:rPr>
                      <m:t>n</m:t>
                    </m:r>
                    <m:ctrlPr>
                      <w:rPr>
                        <w:rFonts w:ascii="DejaVu Math TeX Gyre" w:hAnsi="DejaVu Math TeX Gyre" w:cs="Times New Roman Regular"/>
                        <w:i/>
                        <w:iCs/>
                        <w:color w:val="0000FF"/>
                        <w:sz w:val="21"/>
                        <w:szCs w:val="21"/>
                      </w:rPr>
                    </m:ctrlPr>
                  </m:sup>
                  <m:e>
                    <m:r>
                      <m:rPr>
                        <m:nor/>
                      </m:rPr>
                      <w:rPr>
                        <w:rFonts w:hint="default" w:ascii="DejaVu Math TeX Gyre" w:hAnsi="DejaVu Math TeX Gyre" w:cs="Times New Roman Regular"/>
                        <w:i/>
                        <w:iCs/>
                        <w:color w:val="0000FF"/>
                        <w:sz w:val="21"/>
                        <w:szCs w:val="21"/>
                      </w:rPr>
                      <m:t>(</m:t>
                    </m:r>
                    <m:ctrlPr>
                      <w:rPr>
                        <w:rFonts w:ascii="DejaVu Math TeX Gyre" w:hAnsi="DejaVu Math TeX Gyre" w:cs="Times New Roman Regular"/>
                        <w:i/>
                        <w:iCs/>
                        <w:color w:val="0000FF"/>
                        <w:sz w:val="21"/>
                        <w:szCs w:val="21"/>
                      </w:rPr>
                    </m:ctrlPr>
                  </m:e>
                </m:nary>
                <m:sSub>
                  <m:sSubPr>
                    <m:ctrlPr>
                      <w:rPr>
                        <w:rFonts w:hint="default" w:ascii="DejaVu Math TeX Gyre" w:hAnsi="DejaVu Math TeX Gyre" w:cs="Times New Roman Regular"/>
                        <w:i/>
                        <w:iCs/>
                        <w:color w:val="0000FF"/>
                        <w:sz w:val="21"/>
                        <w:szCs w:val="21"/>
                      </w:rPr>
                    </m:ctrlPr>
                  </m:sSubPr>
                  <m:e>
                    <m:r>
                      <m:rPr>
                        <m:nor/>
                      </m:rPr>
                      <w:rPr>
                        <w:rFonts w:hint="default" w:ascii="DejaVu Math TeX Gyre" w:hAnsi="DejaVu Math TeX Gyre" w:cs="Times New Roman Regular"/>
                        <w:i/>
                        <w:iCs/>
                        <w:color w:val="0000FF"/>
                        <w:sz w:val="21"/>
                        <w:szCs w:val="21"/>
                      </w:rPr>
                      <m:t>x</m:t>
                    </m:r>
                    <m:ctrlPr>
                      <w:rPr>
                        <w:rFonts w:ascii="DejaVu Math TeX Gyre" w:hAnsi="DejaVu Math TeX Gyre" w:cs="Times New Roman Regular"/>
                        <w:i/>
                        <w:iCs/>
                        <w:color w:val="0000FF"/>
                        <w:sz w:val="21"/>
                        <w:szCs w:val="21"/>
                      </w:rPr>
                    </m:ctrlPr>
                  </m:e>
                  <m:sub>
                    <m:r>
                      <m:rPr>
                        <m:nor/>
                      </m:rPr>
                      <w:rPr>
                        <w:rFonts w:hint="default" w:ascii="DejaVu Math TeX Gyre" w:hAnsi="DejaVu Math TeX Gyre" w:cs="Times New Roman Regular"/>
                        <w:i/>
                        <w:iCs/>
                        <w:color w:val="0000FF"/>
                        <w:sz w:val="21"/>
                        <w:szCs w:val="21"/>
                      </w:rPr>
                      <m:t>i</m:t>
                    </m:r>
                    <m:ctrlPr>
                      <w:rPr>
                        <w:rFonts w:ascii="DejaVu Math TeX Gyre" w:hAnsi="DejaVu Math TeX Gyre" w:cs="Times New Roman Regular"/>
                        <w:i/>
                        <w:iCs/>
                        <w:color w:val="0000FF"/>
                        <w:sz w:val="21"/>
                        <w:szCs w:val="21"/>
                      </w:rPr>
                    </m:ctrlPr>
                  </m:sub>
                </m:sSub>
                <m:r>
                  <m:rPr>
                    <m:nor/>
                  </m:rPr>
                  <w:rPr>
                    <w:rFonts w:hint="default" w:ascii="DejaVu Math TeX Gyre" w:hAnsi="DejaVu Math TeX Gyre" w:cs="Times New Roman Regular"/>
                    <w:i/>
                    <w:iCs/>
                    <w:color w:val="0000FF"/>
                    <w:sz w:val="21"/>
                    <w:szCs w:val="21"/>
                  </w:rPr>
                  <m:t>−</m:t>
                </m:r>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x</m:t>
                    </m:r>
                    <m:ctrlPr>
                      <w:rPr>
                        <w:rFonts w:ascii="DejaVu Math TeX Gyre" w:hAnsi="DejaVu Math TeX Gyre" w:cs="Times New Roman Regular"/>
                        <w:i/>
                        <w:iCs/>
                        <w:color w:val="0000FF"/>
                        <w:sz w:val="21"/>
                        <w:szCs w:val="21"/>
                      </w:rPr>
                    </m:ctrlPr>
                  </m:e>
                </m:acc>
                <m:sSup>
                  <m:sSupPr>
                    <m:ctrlPr>
                      <w:rPr>
                        <w:rFonts w:hint="default" w:ascii="DejaVu Math TeX Gyre" w:hAnsi="DejaVu Math TeX Gyre" w:cs="Times New Roman Regular"/>
                        <w:i/>
                        <w:iCs/>
                        <w:color w:val="0000FF"/>
                        <w:sz w:val="21"/>
                        <w:szCs w:val="21"/>
                      </w:rPr>
                    </m:ctrlPr>
                  </m:sSupPr>
                  <m:e>
                    <m:r>
                      <m:rPr>
                        <m:nor/>
                      </m:rPr>
                      <w:rPr>
                        <w:rFonts w:hint="default" w:ascii="DejaVu Math TeX Gyre" w:hAnsi="DejaVu Math TeX Gyre" w:cs="Times New Roman Regular"/>
                        <w:i/>
                        <w:iCs/>
                        <w:color w:val="0000FF"/>
                        <w:sz w:val="21"/>
                        <w:szCs w:val="21"/>
                      </w:rPr>
                      <m:t>)</m:t>
                    </m:r>
                    <m:ctrlPr>
                      <w:rPr>
                        <w:rFonts w:ascii="DejaVu Math TeX Gyre" w:hAnsi="DejaVu Math TeX Gyre" w:cs="Times New Roman Regular"/>
                        <w:i/>
                        <w:iCs/>
                        <w:color w:val="0000FF"/>
                        <w:sz w:val="21"/>
                        <w:szCs w:val="21"/>
                      </w:rPr>
                    </m:ctrlPr>
                  </m:e>
                  <m:sup>
                    <m:r>
                      <m:rPr>
                        <m:nor/>
                      </m:rPr>
                      <w:rPr>
                        <w:rFonts w:hint="default" w:ascii="DejaVu Math TeX Gyre" w:hAnsi="DejaVu Math TeX Gyre" w:cs="Times New Roman Regular"/>
                        <w:i/>
                        <w:iCs/>
                        <w:color w:val="0000FF"/>
                        <w:sz w:val="21"/>
                        <w:szCs w:val="21"/>
                      </w:rPr>
                      <m:t>2</m:t>
                    </m:r>
                    <m:ctrlPr>
                      <w:rPr>
                        <w:rFonts w:ascii="DejaVu Math TeX Gyre" w:hAnsi="DejaVu Math TeX Gyre" w:cs="Times New Roman Regular"/>
                        <w:i/>
                        <w:iCs/>
                        <w:color w:val="0000FF"/>
                        <w:sz w:val="21"/>
                        <w:szCs w:val="21"/>
                      </w:rPr>
                    </m:ctrlPr>
                  </m:sup>
                </m:sSup>
                <m:nary>
                  <m:naryPr>
                    <m:chr m:val="∑"/>
                    <m:limLoc m:val="undOvr"/>
                    <m:ctrlPr>
                      <w:rPr>
                        <w:rFonts w:hint="default" w:ascii="DejaVu Math TeX Gyre" w:hAnsi="DejaVu Math TeX Gyre" w:cs="Times New Roman Regular"/>
                        <w:i/>
                        <w:iCs/>
                        <w:color w:val="0000FF"/>
                        <w:sz w:val="21"/>
                        <w:szCs w:val="21"/>
                      </w:rPr>
                    </m:ctrlPr>
                  </m:naryPr>
                  <m:sub>
                    <m:r>
                      <m:rPr>
                        <m:nor/>
                      </m:rPr>
                      <w:rPr>
                        <w:rFonts w:hint="default" w:ascii="DejaVu Math TeX Gyre" w:hAnsi="DejaVu Math TeX Gyre" w:cs="Times New Roman Regular"/>
                        <w:i/>
                        <w:iCs/>
                        <w:color w:val="0000FF"/>
                        <w:sz w:val="21"/>
                        <w:szCs w:val="21"/>
                      </w:rPr>
                      <m:t>i=1</m:t>
                    </m:r>
                    <m:ctrlPr>
                      <w:rPr>
                        <w:rFonts w:ascii="DejaVu Math TeX Gyre" w:hAnsi="DejaVu Math TeX Gyre" w:cs="Times New Roman Regular"/>
                        <w:i/>
                        <w:iCs/>
                        <w:color w:val="0000FF"/>
                        <w:sz w:val="21"/>
                        <w:szCs w:val="21"/>
                      </w:rPr>
                    </m:ctrlPr>
                  </m:sub>
                  <m:sup>
                    <m:r>
                      <m:rPr>
                        <m:nor/>
                      </m:rPr>
                      <w:rPr>
                        <w:rFonts w:hint="default" w:ascii="DejaVu Math TeX Gyre" w:hAnsi="DejaVu Math TeX Gyre" w:cs="Times New Roman Regular"/>
                        <w:i/>
                        <w:iCs/>
                        <w:color w:val="0000FF"/>
                        <w:sz w:val="21"/>
                        <w:szCs w:val="21"/>
                      </w:rPr>
                      <m:t>n</m:t>
                    </m:r>
                    <m:ctrlPr>
                      <w:rPr>
                        <w:rFonts w:ascii="DejaVu Math TeX Gyre" w:hAnsi="DejaVu Math TeX Gyre" w:cs="Times New Roman Regular"/>
                        <w:i/>
                        <w:iCs/>
                        <w:color w:val="0000FF"/>
                        <w:sz w:val="21"/>
                        <w:szCs w:val="21"/>
                      </w:rPr>
                    </m:ctrlPr>
                  </m:sup>
                  <m:e>
                    <m:r>
                      <m:rPr>
                        <m:nor/>
                      </m:rPr>
                      <w:rPr>
                        <w:rFonts w:hint="default" w:ascii="DejaVu Math TeX Gyre" w:hAnsi="DejaVu Math TeX Gyre" w:cs="Times New Roman Regular"/>
                        <w:i/>
                        <w:iCs/>
                        <w:color w:val="0000FF"/>
                        <w:sz w:val="21"/>
                        <w:szCs w:val="21"/>
                      </w:rPr>
                      <m:t>(</m:t>
                    </m:r>
                    <m:ctrlPr>
                      <w:rPr>
                        <w:rFonts w:ascii="DejaVu Math TeX Gyre" w:hAnsi="DejaVu Math TeX Gyre" w:cs="Times New Roman Regular"/>
                        <w:i/>
                        <w:iCs/>
                        <w:color w:val="0000FF"/>
                        <w:sz w:val="21"/>
                        <w:szCs w:val="21"/>
                      </w:rPr>
                    </m:ctrlPr>
                  </m:e>
                </m:nary>
                <m:sSub>
                  <m:sSubPr>
                    <m:ctrlPr>
                      <w:rPr>
                        <w:rFonts w:hint="default" w:ascii="DejaVu Math TeX Gyre" w:hAnsi="DejaVu Math TeX Gyre" w:cs="Times New Roman Regular"/>
                        <w:i/>
                        <w:iCs/>
                        <w:color w:val="0000FF"/>
                        <w:sz w:val="21"/>
                        <w:szCs w:val="21"/>
                      </w:rPr>
                    </m:ctrlPr>
                  </m:sSubPr>
                  <m:e>
                    <m:r>
                      <m:rPr>
                        <m:nor/>
                      </m:rPr>
                      <w:rPr>
                        <w:rFonts w:hint="default" w:ascii="DejaVu Math TeX Gyre" w:hAnsi="DejaVu Math TeX Gyre" w:cs="Times New Roman Regular"/>
                        <w:i/>
                        <w:iCs/>
                        <w:color w:val="0000FF"/>
                        <w:sz w:val="21"/>
                        <w:szCs w:val="21"/>
                      </w:rPr>
                      <m:t>y</m:t>
                    </m:r>
                    <m:ctrlPr>
                      <w:rPr>
                        <w:rFonts w:ascii="DejaVu Math TeX Gyre" w:hAnsi="DejaVu Math TeX Gyre" w:cs="Times New Roman Regular"/>
                        <w:i/>
                        <w:iCs/>
                        <w:color w:val="0000FF"/>
                        <w:sz w:val="21"/>
                        <w:szCs w:val="21"/>
                      </w:rPr>
                    </m:ctrlPr>
                  </m:e>
                  <m:sub>
                    <m:r>
                      <m:rPr>
                        <m:nor/>
                      </m:rPr>
                      <w:rPr>
                        <w:rFonts w:hint="default" w:ascii="DejaVu Math TeX Gyre" w:hAnsi="DejaVu Math TeX Gyre" w:cs="Times New Roman Regular"/>
                        <w:i/>
                        <w:iCs/>
                        <w:color w:val="0000FF"/>
                        <w:sz w:val="21"/>
                        <w:szCs w:val="21"/>
                      </w:rPr>
                      <m:t>i</m:t>
                    </m:r>
                    <m:ctrlPr>
                      <w:rPr>
                        <w:rFonts w:ascii="DejaVu Math TeX Gyre" w:hAnsi="DejaVu Math TeX Gyre" w:cs="Times New Roman Regular"/>
                        <w:i/>
                        <w:iCs/>
                        <w:color w:val="0000FF"/>
                        <w:sz w:val="21"/>
                        <w:szCs w:val="21"/>
                      </w:rPr>
                    </m:ctrlPr>
                  </m:sub>
                </m:sSub>
                <m:r>
                  <m:rPr>
                    <m:nor/>
                  </m:rPr>
                  <w:rPr>
                    <w:rFonts w:hint="default" w:ascii="DejaVu Math TeX Gyre" w:hAnsi="DejaVu Math TeX Gyre" w:cs="Times New Roman Regular"/>
                    <w:i/>
                    <w:iCs/>
                    <w:color w:val="0000FF"/>
                    <w:sz w:val="21"/>
                    <w:szCs w:val="21"/>
                  </w:rPr>
                  <m:t>−</m:t>
                </m:r>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y</m:t>
                    </m:r>
                    <m:ctrlPr>
                      <w:rPr>
                        <w:rFonts w:ascii="DejaVu Math TeX Gyre" w:hAnsi="DejaVu Math TeX Gyre" w:cs="Times New Roman Regular"/>
                        <w:i/>
                        <w:iCs/>
                        <w:color w:val="0000FF"/>
                        <w:sz w:val="21"/>
                        <w:szCs w:val="21"/>
                      </w:rPr>
                    </m:ctrlPr>
                  </m:e>
                </m:acc>
                <m:sSup>
                  <m:sSupPr>
                    <m:ctrlPr>
                      <w:rPr>
                        <w:rFonts w:hint="default" w:ascii="DejaVu Math TeX Gyre" w:hAnsi="DejaVu Math TeX Gyre" w:cs="Times New Roman Regular"/>
                        <w:i/>
                        <w:iCs/>
                        <w:color w:val="0000FF"/>
                        <w:sz w:val="21"/>
                        <w:szCs w:val="21"/>
                      </w:rPr>
                    </m:ctrlPr>
                  </m:sSupPr>
                  <m:e>
                    <m:r>
                      <m:rPr>
                        <m:nor/>
                      </m:rPr>
                      <w:rPr>
                        <w:rFonts w:hint="default" w:ascii="DejaVu Math TeX Gyre" w:hAnsi="DejaVu Math TeX Gyre" w:cs="Times New Roman Regular"/>
                        <w:i/>
                        <w:iCs/>
                        <w:color w:val="0000FF"/>
                        <w:sz w:val="21"/>
                        <w:szCs w:val="21"/>
                      </w:rPr>
                      <m:t>)</m:t>
                    </m:r>
                    <m:ctrlPr>
                      <w:rPr>
                        <w:rFonts w:ascii="DejaVu Math TeX Gyre" w:hAnsi="DejaVu Math TeX Gyre" w:cs="Times New Roman Regular"/>
                        <w:i/>
                        <w:iCs/>
                        <w:color w:val="0000FF"/>
                        <w:sz w:val="21"/>
                        <w:szCs w:val="21"/>
                      </w:rPr>
                    </m:ctrlPr>
                  </m:e>
                  <m:sup>
                    <m:r>
                      <m:rPr>
                        <m:nor/>
                      </m:rPr>
                      <w:rPr>
                        <w:rFonts w:hint="default" w:ascii="DejaVu Math TeX Gyre" w:hAnsi="DejaVu Math TeX Gyre" w:cs="Times New Roman Regular"/>
                        <w:i/>
                        <w:iCs/>
                        <w:color w:val="0000FF"/>
                        <w:sz w:val="21"/>
                        <w:szCs w:val="21"/>
                      </w:rPr>
                      <m:t>2</m:t>
                    </m:r>
                    <m:ctrlPr>
                      <w:rPr>
                        <w:rFonts w:ascii="DejaVu Math TeX Gyre" w:hAnsi="DejaVu Math TeX Gyre" w:cs="Times New Roman Regular"/>
                        <w:i/>
                        <w:iCs/>
                        <w:color w:val="0000FF"/>
                        <w:sz w:val="21"/>
                        <w:szCs w:val="21"/>
                      </w:rPr>
                    </m:ctrlPr>
                  </m:sup>
                </m:sSup>
                <m:ctrlPr>
                  <w:rPr>
                    <w:rFonts w:hint="default" w:ascii="DejaVu Math TeX Gyre" w:hAnsi="DejaVu Math TeX Gyre" w:cs="Times New Roman Regular"/>
                    <w:i/>
                    <w:iCs/>
                    <w:color w:val="0000FF"/>
                    <w:sz w:val="21"/>
                    <w:szCs w:val="21"/>
                  </w:rPr>
                </m:ctrlPr>
              </m:e>
            </m:rad>
            <m:ctrlPr>
              <w:rPr>
                <w:rFonts w:hint="default" w:ascii="DejaVu Math TeX Gyre" w:hAnsi="DejaVu Math TeX Gyre" w:cs="Times New Roman Regular"/>
                <w:i/>
                <w:iCs/>
                <w:color w:val="0000FF"/>
                <w:sz w:val="21"/>
                <w:szCs w:val="21"/>
              </w:rPr>
            </m:ctrlPr>
          </m:den>
        </m:f>
      </m:oMath>
      <w:r>
        <w:rPr>
          <w:rFonts w:hint="default" w:hAnsi="DejaVu Math TeX Gyre" w:cs="Times New Roman Regular"/>
          <w:i w:val="0"/>
          <w:iCs/>
          <w:color w:val="0000FF"/>
          <w:sz w:val="21"/>
          <w:szCs w:val="21"/>
          <w:lang w:val="en-US"/>
        </w:rPr>
        <w:t xml:space="preserve">                         </w:t>
      </w:r>
      <w:r>
        <w:rPr>
          <w:rFonts w:hint="default" w:ascii="Times New Roman Regular" w:hAnsi="Times New Roman Regular" w:cs="Times New Roman Regular"/>
          <w:i w:val="0"/>
          <w:iCs/>
          <w:color w:val="0000FF"/>
          <w:sz w:val="21"/>
          <w:szCs w:val="21"/>
          <w:lang w:val="en-US"/>
        </w:rPr>
        <w:t>(10)</w:t>
      </w:r>
    </w:p>
    <w:p w14:paraId="74399742">
      <w:pPr>
        <w:keepNext w:val="0"/>
        <w:keepLines w:val="0"/>
        <w:widowControl/>
        <w:suppressLineNumbers w:val="0"/>
        <w:spacing w:line="300" w:lineRule="auto"/>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ascii="Times New Roman Regular" w:hAnsi="Times New Roman Regular" w:eastAsia="-webkit-standard" w:cs="Times New Roman Regular"/>
          <w:i w:val="0"/>
          <w:iCs w:val="0"/>
          <w:caps w:val="0"/>
          <w:color w:val="0000FF"/>
          <w:spacing w:val="0"/>
          <w:kern w:val="0"/>
          <w:sz w:val="21"/>
          <w:szCs w:val="21"/>
          <w:u w:val="none"/>
          <w:lang w:val="en-US" w:eastAsia="zh-CN" w:bidi="ar"/>
        </w:rPr>
        <w:t>where</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w:t>
      </w:r>
      <w:r>
        <w:rPr>
          <w:rFonts w:hint="default" w:ascii="Times New Roman Italic" w:hAnsi="Times New Roman Italic" w:eastAsia="Times New Roman" w:cs="Times New Roman Italic"/>
          <w:i/>
          <w:iCs/>
          <w:caps w:val="0"/>
          <w:color w:val="0000FF"/>
          <w:spacing w:val="0"/>
          <w:kern w:val="0"/>
          <w:sz w:val="21"/>
          <w:szCs w:val="21"/>
          <w:u w:val="none"/>
          <w:lang w:val="en-US" w:eastAsia="zh-CN" w:bidi="ar"/>
        </w:rPr>
        <w:t>r</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Pearson correlation coefficient, ranging from -1 to 1; </w:t>
      </w:r>
      <w:r>
        <w:rPr>
          <w:rFonts w:hint="default" w:ascii="Times New Roman Italic" w:hAnsi="Times New Roman Italic" w:eastAsia="Times New Roman" w:cs="Times New Roman Italic"/>
          <w:i/>
          <w:iCs/>
          <w:caps w:val="0"/>
          <w:color w:val="0000FF"/>
          <w:spacing w:val="0"/>
          <w:kern w:val="0"/>
          <w:sz w:val="21"/>
          <w:szCs w:val="21"/>
          <w:u w:val="none"/>
          <w:lang w:val="en-US" w:eastAsia="zh-CN" w:bidi="ar"/>
        </w:rPr>
        <w:t>x</w:t>
      </w:r>
      <w:r>
        <w:rPr>
          <w:rFonts w:hint="default" w:ascii="Times New Roman Italic" w:hAnsi="Times New Roman Italic" w:eastAsia="Times New Roman" w:cs="Times New Roman Italic"/>
          <w:i/>
          <w:iCs/>
          <w:caps w:val="0"/>
          <w:color w:val="0000FF"/>
          <w:spacing w:val="0"/>
          <w:kern w:val="0"/>
          <w:sz w:val="21"/>
          <w:szCs w:val="21"/>
          <w:u w:val="none"/>
          <w:vertAlign w:val="subscript"/>
          <w:lang w:val="en-US" w:eastAsia="zh-CN" w:bidi="ar"/>
        </w:rPr>
        <w:t>i</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and </w:t>
      </w:r>
      <w:r>
        <w:rPr>
          <w:rFonts w:hint="default" w:ascii="Times New Roman Italic" w:hAnsi="Times New Roman Italic" w:eastAsia="Times New Roman" w:cs="Times New Roman Italic"/>
          <w:i/>
          <w:iCs/>
          <w:caps w:val="0"/>
          <w:color w:val="0000FF"/>
          <w:spacing w:val="0"/>
          <w:kern w:val="0"/>
          <w:sz w:val="21"/>
          <w:szCs w:val="21"/>
          <w:u w:val="none"/>
          <w:lang w:val="en-US" w:eastAsia="zh-CN" w:bidi="ar"/>
        </w:rPr>
        <w:t>y</w:t>
      </w:r>
      <w:r>
        <w:rPr>
          <w:rFonts w:hint="default" w:ascii="Times New Roman Italic" w:hAnsi="Times New Roman Italic" w:eastAsia="Times New Roman" w:cs="Times New Roman Italic"/>
          <w:i/>
          <w:iCs/>
          <w:caps w:val="0"/>
          <w:color w:val="0000FF"/>
          <w:spacing w:val="0"/>
          <w:kern w:val="0"/>
          <w:sz w:val="21"/>
          <w:szCs w:val="21"/>
          <w:u w:val="none"/>
          <w:vertAlign w:val="subscript"/>
          <w:lang w:val="en-US" w:eastAsia="zh-CN" w:bidi="ar"/>
        </w:rPr>
        <w:t>i</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are the observed values of the hydrochemical parameter and nitrate concentration for the i-th sample, respectively;  </w:t>
      </w:r>
      <m:oMath>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x</m:t>
            </m:r>
            <m:ctrlPr>
              <w:rPr>
                <w:rFonts w:ascii="DejaVu Math TeX Gyre" w:hAnsi="DejaVu Math TeX Gyre" w:cs="Times New Roman Regular"/>
                <w:i/>
                <w:iCs/>
                <w:color w:val="0000FF"/>
                <w:sz w:val="21"/>
                <w:szCs w:val="21"/>
              </w:rPr>
            </m:ctrlPr>
          </m:e>
        </m:acc>
      </m:oMath>
      <w:r>
        <w:rPr>
          <w:rFonts w:hint="default" w:hAnsi="DejaVu Math TeX Gyre" w:cs="Times New Roman Regular"/>
          <w:i w:val="0"/>
          <w:iCs/>
          <w:color w:val="0000FF"/>
          <w:sz w:val="21"/>
          <w:szCs w:val="21"/>
          <w:lang w:val="en-US"/>
        </w:rPr>
        <w:t xml:space="preserve"> </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and </w:t>
      </w:r>
      <m:oMath>
        <m:acc>
          <m:accPr>
            <m:chr m:val="̄"/>
            <m:ctrlPr>
              <w:rPr>
                <w:rFonts w:hint="default" w:ascii="DejaVu Math TeX Gyre" w:hAnsi="DejaVu Math TeX Gyre" w:cs="Times New Roman Regular"/>
                <w:i/>
                <w:iCs/>
                <w:color w:val="0000FF"/>
                <w:sz w:val="21"/>
                <w:szCs w:val="21"/>
              </w:rPr>
            </m:ctrlPr>
          </m:accPr>
          <m:e>
            <m:r>
              <m:rPr>
                <m:nor/>
              </m:rPr>
              <w:rPr>
                <w:rFonts w:hint="default" w:ascii="DejaVu Math TeX Gyre" w:hAnsi="DejaVu Math TeX Gyre" w:cs="Times New Roman Regular"/>
                <w:i/>
                <w:iCs/>
                <w:color w:val="0000FF"/>
                <w:sz w:val="21"/>
                <w:szCs w:val="21"/>
              </w:rPr>
              <m:t>y</m:t>
            </m:r>
            <m:ctrlPr>
              <w:rPr>
                <w:rFonts w:ascii="DejaVu Math TeX Gyre" w:hAnsi="DejaVu Math TeX Gyre" w:cs="Times New Roman Regular"/>
                <w:i/>
                <w:iCs/>
                <w:color w:val="0000FF"/>
                <w:sz w:val="21"/>
                <w:szCs w:val="21"/>
              </w:rPr>
            </m:ctrlPr>
          </m:e>
        </m:acc>
      </m:oMath>
      <w:r>
        <w:rPr>
          <w:rFonts w:hint="default" w:hAnsi="DejaVu Math TeX Gyre" w:cs="Times New Roman Regular"/>
          <w:i w:val="0"/>
          <w:iCs/>
          <w:color w:val="0000FF"/>
          <w:sz w:val="21"/>
          <w:szCs w:val="21"/>
          <w:lang w:val="en-US"/>
        </w:rPr>
        <w:t xml:space="preserve"> </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are the mean values of the two variables; and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n</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number of samples.</w:t>
      </w:r>
    </w:p>
    <w:p w14:paraId="71B3CAF8">
      <w:pPr>
        <w:keepNext w:val="0"/>
        <w:keepLines w:val="0"/>
        <w:widowControl/>
        <w:suppressLineNumbers w:val="0"/>
        <w:spacing w:line="300" w:lineRule="auto"/>
        <w:ind w:firstLine="420"/>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We performed a two-tailed significance test for each correlation coefficient to determine whether the linear correlation was statistically significant. The significance criteria were set as: p &lt; 0.001 (highly significant), 0.001 ≤ p &lt; 0.01 (very significant), 0.01 ≤ p &lt; 0.05 (significant), and p ≥ 0.05 (not significant). The correlation coefficients and significance test results were presented as a heatmap in the results section, aligned with the order of predictors from the Bayesian regression analysis to facilitate cross-validation of the driving effects (</w:t>
      </w:r>
      <w:r>
        <w:rPr>
          <w:rFonts w:hint="default" w:ascii="Times New Roman Regular" w:hAnsi="Times New Roman Regular" w:cs="Times New Roman Regular"/>
          <w:color w:val="0000FF"/>
        </w:rPr>
        <w:t>Ma</w:t>
      </w:r>
      <w:r>
        <w:rPr>
          <w:rFonts w:hint="default" w:ascii="Times New Roman Regular" w:hAnsi="Times New Roman Regular" w:cs="Times New Roman Regular"/>
          <w:color w:val="0000FF"/>
          <w:lang w:val="en-US"/>
        </w:rPr>
        <w:t xml:space="preserve"> et al., 2025</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w:t>
      </w:r>
    </w:p>
    <w:p w14:paraId="0631B61A">
      <w:pPr>
        <w:spacing w:line="300" w:lineRule="auto"/>
        <w:rPr>
          <w:rFonts w:hint="default" w:ascii="Times New Roman Regular" w:hAnsi="Times New Roman Regular" w:cs="Times New Roman Regular"/>
          <w:color w:val="0000FF"/>
          <w:lang w:val="en-US" w:eastAsia="zh-CN"/>
        </w:rPr>
      </w:pPr>
    </w:p>
    <w:p w14:paraId="39E36CEA">
      <w:pPr>
        <w:spacing w:line="300" w:lineRule="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2.6.2 Bayesian linear regression model</w:t>
      </w:r>
    </w:p>
    <w:p w14:paraId="523CE232">
      <w:pPr>
        <w:spacing w:line="300" w:lineRule="auto"/>
        <w:ind w:firstLine="420"/>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Bayesian linear regression is a probabilistic statistical method that infers the posterior distribution of model parameters based on Bayes’ theorem (</w:t>
      </w:r>
      <w:r>
        <w:rPr>
          <w:rFonts w:hint="default" w:ascii="Times New Roman Regular" w:hAnsi="Times New Roman Regular" w:cs="Times New Roman Regular"/>
          <w:color w:val="0000FF"/>
        </w:rPr>
        <w:t>Sadik</w:t>
      </w:r>
      <w:r>
        <w:rPr>
          <w:rFonts w:hint="default" w:ascii="Times New Roman Regular" w:hAnsi="Times New Roman Regular" w:cs="Times New Roman Regular"/>
          <w:color w:val="0000FF"/>
          <w:lang w:val="en-US"/>
        </w:rPr>
        <w:t xml:space="preserve"> et al., 2024</w:t>
      </w:r>
      <w:r>
        <w:rPr>
          <w:rFonts w:hint="default" w:ascii="Times New Roman Regular" w:hAnsi="Times New Roman Regular" w:cs="Times New Roman Regular"/>
          <w:color w:val="0000FF"/>
          <w:lang w:val="en-US" w:eastAsia="zh-CN"/>
        </w:rPr>
        <w:t>). It provides complete uncertainty quantification of parameter effects and avoids the overfitting risk of frequentist regression in small-sample scenarios. The core of the model is to establish the linear relationship between the response variable and the predictor variables, with the following general form:</w:t>
      </w:r>
    </w:p>
    <w:p w14:paraId="32DF0727">
      <w:pPr>
        <w:spacing w:line="300" w:lineRule="auto"/>
        <w:ind w:firstLine="420"/>
        <w:jc w:val="right"/>
        <w:rPr>
          <w:rFonts w:hint="default" w:ascii="Times New Roman Regular" w:hAnsi="Times New Roman Regular" w:cs="Times New Roman Regular"/>
          <w:color w:val="0000FF"/>
          <w:lang w:val="en-US" w:eastAsia="zh-CN"/>
        </w:rPr>
      </w:pPr>
      <m:oMath>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i/>
                <w:iCs/>
                <w:color w:val="0000FF"/>
                <w:sz w:val="21"/>
              </w:rPr>
              <m:t>y</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i</m:t>
            </m:r>
            <m:ctrlPr>
              <w:rPr>
                <w:rFonts w:ascii="DejaVu Math TeX Gyre" w:hAnsi="DejaVu Math TeX Gyre" w:cs="Times New Roman Regular"/>
                <w:i/>
                <w:iCs/>
                <w:color w:val="0000FF"/>
                <w:sz w:val="21"/>
              </w:rPr>
            </m:ctrlPr>
          </m:sub>
        </m:sSub>
        <m:r>
          <m:rPr>
            <m:nor/>
          </m:rPr>
          <w:rPr>
            <w:rFonts w:hint="default" w:ascii="DejaVu Math TeX Gyre" w:hAnsi="DejaVu Math TeX Gyre" w:cs="Times New Roman Regular"/>
            <w:i/>
            <w:iCs/>
            <w:color w:val="0000FF"/>
            <w:sz w:val="21"/>
          </w:rPr>
          <m:t>=α+</m:t>
        </m:r>
        <m:nary>
          <m:naryPr>
            <m:chr m:val="∑"/>
            <m:limLoc m:val="undOvr"/>
            <m:ctrlPr>
              <w:rPr>
                <w:rFonts w:hint="default" w:ascii="DejaVu Math TeX Gyre" w:hAnsi="DejaVu Math TeX Gyre" w:cs="Times New Roman Regular"/>
                <w:i/>
                <w:iCs/>
                <w:color w:val="0000FF"/>
                <w:sz w:val="21"/>
              </w:rPr>
            </m:ctrlPr>
          </m:naryPr>
          <m:sub>
            <m:r>
              <m:rPr>
                <m:nor/>
              </m:rPr>
              <w:rPr>
                <w:rFonts w:hint="default" w:ascii="DejaVu Math TeX Gyre" w:hAnsi="DejaVu Math TeX Gyre" w:cs="Times New Roman Regular"/>
                <w:i/>
                <w:iCs/>
                <w:color w:val="0000FF"/>
                <w:sz w:val="21"/>
              </w:rPr>
              <m:t>j=1</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i/>
                <w:iCs/>
                <w:color w:val="0000FF"/>
                <w:sz w:val="21"/>
              </w:rPr>
              <m:t>p</m:t>
            </m:r>
            <m:ctrlPr>
              <w:rPr>
                <w:rFonts w:ascii="DejaVu Math TeX Gyre" w:hAnsi="DejaVu Math TeX Gyre" w:cs="Times New Roman Regular"/>
                <w:i/>
                <w:iCs/>
                <w:color w:val="0000FF"/>
                <w:sz w:val="21"/>
              </w:rPr>
            </m:ctrlPr>
          </m:sup>
          <m:e>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i/>
                    <w:iCs/>
                    <w:color w:val="0000FF"/>
                    <w:sz w:val="21"/>
                  </w:rPr>
                  <m:t>β</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j</m:t>
                </m:r>
                <m:ctrlPr>
                  <w:rPr>
                    <w:rFonts w:ascii="DejaVu Math TeX Gyre" w:hAnsi="DejaVu Math TeX Gyre" w:cs="Times New Roman Regular"/>
                    <w:i/>
                    <w:iCs/>
                    <w:color w:val="0000FF"/>
                    <w:sz w:val="21"/>
                  </w:rPr>
                </m:ctrlPr>
              </m:sub>
            </m:sSub>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i/>
                    <w:iCs/>
                    <w:color w:val="0000FF"/>
                    <w:sz w:val="21"/>
                  </w:rPr>
                  <m:t>x</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ij</m:t>
                </m:r>
                <m:ctrlPr>
                  <w:rPr>
                    <w:rFonts w:ascii="DejaVu Math TeX Gyre" w:hAnsi="DejaVu Math TeX Gyre" w:cs="Times New Roman Regular"/>
                    <w:i/>
                    <w:iCs/>
                    <w:color w:val="0000FF"/>
                    <w:sz w:val="21"/>
                  </w:rPr>
                </m:ctrlPr>
              </m:sub>
            </m:sSub>
            <m:ctrlPr>
              <w:rPr>
                <w:rFonts w:hint="default" w:ascii="DejaVu Math TeX Gyre" w:hAnsi="DejaVu Math TeX Gyre" w:cs="Times New Roman Regular"/>
                <w:i/>
                <w:iCs/>
                <w:color w:val="0000FF"/>
                <w:sz w:val="21"/>
              </w:rPr>
            </m:ctrlPr>
          </m:e>
        </m:nary>
        <m:r>
          <m:rPr>
            <m:nor/>
          </m:rPr>
          <w:rPr>
            <w:rFonts w:hint="default" w:ascii="DejaVu Math TeX Gyre" w:hAnsi="DejaVu Math TeX Gyre" w:cs="Times New Roman Regular"/>
            <w:i/>
            <w:iCs/>
            <w:color w:val="0000FF"/>
            <w:sz w:val="21"/>
          </w:rPr>
          <m:t>+</m:t>
        </m:r>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i/>
                <w:iCs/>
                <w:color w:val="0000FF"/>
                <w:sz w:val="21"/>
              </w:rPr>
              <m:t>ϵ</m:t>
            </m:r>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i</m:t>
            </m:r>
            <m:ctrlPr>
              <w:rPr>
                <w:rFonts w:hint="default" w:ascii="DejaVu Math TeX Gyre" w:hAnsi="DejaVu Math TeX Gyre" w:cs="Times New Roman Regular"/>
                <w:i/>
                <w:iCs/>
                <w:color w:val="0000FF"/>
                <w:sz w:val="21"/>
              </w:rPr>
            </m:ctrlPr>
          </m:sub>
        </m:sSub>
        <m:r>
          <m:rPr>
            <m:nor/>
          </m:rPr>
          <w:rPr>
            <w:rFonts w:hint="default" w:ascii="DejaVu Math TeX Gyre" w:hAnsi="DejaVu Math TeX Gyre" w:cs="Times New Roman Regular"/>
            <w:i/>
            <w:iCs/>
            <w:color w:val="0000FF"/>
            <w:sz w:val="21"/>
          </w:rPr>
          <m:t>, </m:t>
        </m:r>
        <m:sSub>
          <m:sSubPr>
            <m:ctrlPr>
              <w:rPr>
                <w:rFonts w:hint="default" w:ascii="DejaVu Math TeX Gyre" w:hAnsi="DejaVu Math TeX Gyre" w:cs="Times New Roman Regular"/>
                <w:i/>
                <w:iCs/>
                <w:color w:val="0000FF"/>
                <w:sz w:val="21"/>
              </w:rPr>
            </m:ctrlPr>
          </m:sSubPr>
          <m:e>
            <m:r>
              <m:rPr>
                <m:nor/>
              </m:rPr>
              <w:rPr>
                <w:rFonts w:hint="default" w:ascii="DejaVu Math TeX Gyre" w:hAnsi="DejaVu Math TeX Gyre" w:cs="Times New Roman Regular"/>
                <w:i/>
                <w:iCs/>
                <w:color w:val="0000FF"/>
                <w:sz w:val="21"/>
              </w:rPr>
              <m:t>ϵ</m:t>
            </m:r>
            <m:ctrlPr>
              <w:rPr>
                <w:rFonts w:hint="default"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i</m:t>
            </m:r>
            <m:ctrlPr>
              <w:rPr>
                <w:rFonts w:hint="default" w:ascii="DejaVu Math TeX Gyre" w:hAnsi="DejaVu Math TeX Gyre" w:cs="Times New Roman Regular"/>
                <w:i/>
                <w:iCs/>
                <w:color w:val="0000FF"/>
                <w:sz w:val="21"/>
              </w:rPr>
            </m:ctrlPr>
          </m:sub>
        </m:sSub>
        <m:r>
          <m:rPr>
            <m:nor/>
          </m:rPr>
          <w:rPr>
            <w:rFonts w:hint="default" w:ascii="DejaVu Math TeX Gyre" w:hAnsi="DejaVu Math TeX Gyre" w:cs="Times New Roman Regular"/>
            <w:i/>
            <w:iCs/>
            <w:color w:val="0000FF"/>
            <w:sz w:val="21"/>
          </w:rPr>
          <m:t>∼</m:t>
        </m:r>
        <m:r>
          <m:rPr>
            <m:nor/>
            <m:scr m:val="script"/>
          </m:rPr>
          <w:rPr>
            <w:rFonts w:hint="default" w:ascii="DejaVu Math TeX Gyre" w:hAnsi="DejaVu Math TeX Gyre" w:eastAsia="MS Mincho" w:cs="MS Mincho"/>
            <w:i/>
            <w:iCs/>
            <w:color w:val="0000FF"/>
            <w:sz w:val="21"/>
          </w:rPr>
          <m:t>N</m:t>
        </m:r>
        <m:r>
          <m:rPr>
            <m:nor/>
          </m:rPr>
          <w:rPr>
            <w:rFonts w:hint="default" w:ascii="DejaVu Math TeX Gyre" w:hAnsi="DejaVu Math TeX Gyre" w:cs="Times New Roman Regular"/>
            <w:i/>
            <w:iCs/>
            <w:color w:val="0000FF"/>
            <w:sz w:val="21"/>
          </w:rPr>
          <m:t>(0,</m:t>
        </m:r>
        <m:sSup>
          <m:sSupPr>
            <m:ctrlPr>
              <w:rPr>
                <w:rFonts w:hint="default" w:ascii="DejaVu Math TeX Gyre" w:hAnsi="DejaVu Math TeX Gyre" w:cs="Times New Roman Regular"/>
                <w:i/>
                <w:iCs/>
                <w:color w:val="0000FF"/>
                <w:sz w:val="21"/>
              </w:rPr>
            </m:ctrlPr>
          </m:sSupPr>
          <m:e>
            <m:r>
              <m:rPr>
                <m:nor/>
              </m:rPr>
              <w:rPr>
                <w:rFonts w:hint="default" w:ascii="DejaVu Math TeX Gyre" w:hAnsi="DejaVu Math TeX Gyre" w:cs="Times New Roman Regular"/>
                <w:i/>
                <w:iCs/>
                <w:color w:val="0000FF"/>
                <w:sz w:val="21"/>
              </w:rPr>
              <m:t>σ</m:t>
            </m:r>
            <m:ctrlPr>
              <w:rPr>
                <w:rFonts w:hint="default" w:ascii="DejaVu Math TeX Gyre" w:hAnsi="DejaVu Math TeX Gyre" w:cs="Times New Roman Regular"/>
                <w:i/>
                <w:iCs/>
                <w:color w:val="0000FF"/>
                <w:sz w:val="21"/>
              </w:rPr>
            </m:ctrlPr>
          </m:e>
          <m:sup>
            <m:r>
              <m:rPr>
                <m:nor/>
              </m:rPr>
              <w:rPr>
                <w:rFonts w:hint="default" w:ascii="DejaVu Math TeX Gyre" w:hAnsi="DejaVu Math TeX Gyre" w:cs="Times New Roman Regular"/>
                <w:i/>
                <w:iCs/>
                <w:color w:val="0000FF"/>
                <w:sz w:val="21"/>
              </w:rPr>
              <m:t>2</m:t>
            </m:r>
            <m:ctrlPr>
              <w:rPr>
                <w:rFonts w:hint="default" w:ascii="DejaVu Math TeX Gyre" w:hAnsi="DejaVu Math TeX Gyre" w:cs="Times New Roman Regular"/>
                <w:i/>
                <w:iCs/>
                <w:color w:val="0000FF"/>
                <w:sz w:val="21"/>
              </w:rPr>
            </m:ctrlPr>
          </m:sup>
        </m:sSup>
        <m:r>
          <m:rPr>
            <m:nor/>
          </m:rPr>
          <w:rPr>
            <w:rFonts w:hint="default" w:ascii="DejaVu Math TeX Gyre" w:hAnsi="DejaVu Math TeX Gyre" w:cs="Times New Roman Regular"/>
            <w:i/>
            <w:iCs/>
            <w:color w:val="0000FF"/>
            <w:sz w:val="21"/>
          </w:rPr>
          <m:t>)</m:t>
        </m:r>
      </m:oMath>
      <w:r>
        <w:rPr>
          <w:rFonts w:hint="default" w:ascii="Times New Roman Regular" w:hAnsi="Times New Roman Regular" w:cs="Times New Roman Regular"/>
          <w:i w:val="0"/>
          <w:iCs/>
          <w:color w:val="0000FF"/>
          <w:sz w:val="21"/>
          <w:lang w:val="en-US"/>
        </w:rPr>
        <w:t xml:space="preserve">                     (11)</w:t>
      </w:r>
    </w:p>
    <w:p w14:paraId="2AD487E6">
      <w:pPr>
        <w:keepNext w:val="0"/>
        <w:keepLines w:val="0"/>
        <w:widowControl/>
        <w:suppressLineNumbers w:val="0"/>
        <w:spacing w:line="300" w:lineRule="auto"/>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ascii="Times New Roman Regular" w:hAnsi="Times New Roman Regular" w:eastAsia="-webkit-standard" w:cs="Times New Roman Regular"/>
          <w:i w:val="0"/>
          <w:iCs w:val="0"/>
          <w:caps w:val="0"/>
          <w:color w:val="0000FF"/>
          <w:spacing w:val="0"/>
          <w:kern w:val="0"/>
          <w:sz w:val="21"/>
          <w:szCs w:val="21"/>
          <w:u w:val="none"/>
          <w:lang w:val="en-US" w:eastAsia="zh-CN" w:bidi="ar"/>
        </w:rPr>
        <w:t>where</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w:t>
      </w:r>
      <w:r>
        <w:rPr>
          <w:rFonts w:hint="default" w:ascii="Times New Roman Italic" w:hAnsi="Times New Roman Italic" w:eastAsia="Times New Roman" w:cs="Times New Roman Italic"/>
          <w:i/>
          <w:iCs/>
          <w:caps w:val="0"/>
          <w:color w:val="0000FF"/>
          <w:spacing w:val="0"/>
          <w:kern w:val="0"/>
          <w:sz w:val="21"/>
          <w:szCs w:val="21"/>
          <w:u w:val="none"/>
          <w:lang w:val="en-US" w:eastAsia="zh-CN" w:bidi="ar"/>
        </w:rPr>
        <w:t>y</w:t>
      </w:r>
      <w:r>
        <w:rPr>
          <w:rFonts w:hint="default" w:ascii="Times New Roman Italic" w:hAnsi="Times New Roman Italic" w:eastAsia="Times New Roman" w:cs="Times New Roman Italic"/>
          <w:i/>
          <w:iCs/>
          <w:caps w:val="0"/>
          <w:color w:val="0000FF"/>
          <w:spacing w:val="0"/>
          <w:kern w:val="0"/>
          <w:sz w:val="21"/>
          <w:szCs w:val="21"/>
          <w:u w:val="none"/>
          <w:vertAlign w:val="subscript"/>
          <w:lang w:val="en-US" w:eastAsia="zh-CN" w:bidi="ar"/>
        </w:rPr>
        <w:t>i</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 xml:space="preserve"> </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is the Z-score standardized nitrate concentration of the i-th sample;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α</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model intercept;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p</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number of predictor variables; </w:t>
      </w:r>
      <w:r>
        <w:rPr>
          <w:rFonts w:hint="default" w:ascii="Times New Roman Italic" w:hAnsi="Times New Roman Italic" w:eastAsia="Times New Roman" w:cs="Times New Roman Italic"/>
          <w:i/>
          <w:iCs/>
          <w:caps w:val="0"/>
          <w:color w:val="0000FF"/>
          <w:spacing w:val="0"/>
          <w:kern w:val="0"/>
          <w:sz w:val="21"/>
          <w:szCs w:val="21"/>
          <w:u w:val="none"/>
          <w:lang w:val="en-US" w:eastAsia="zh-CN" w:bidi="ar"/>
        </w:rPr>
        <w:t>β</w:t>
      </w:r>
      <w:r>
        <w:rPr>
          <w:rFonts w:hint="default" w:ascii="Times New Roman Italic" w:hAnsi="Times New Roman Italic" w:eastAsia="Times New Roman" w:cs="Times New Roman Italic"/>
          <w:i/>
          <w:iCs/>
          <w:caps w:val="0"/>
          <w:color w:val="0000FF"/>
          <w:spacing w:val="0"/>
          <w:kern w:val="0"/>
          <w:sz w:val="21"/>
          <w:szCs w:val="21"/>
          <w:u w:val="none"/>
          <w:vertAlign w:val="subscript"/>
          <w:lang w:val="en-US" w:eastAsia="zh-CN" w:bidi="ar"/>
        </w:rPr>
        <w:t>j</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regression coefficient of the j-th predictor variable;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x</w:t>
      </w:r>
      <w:r>
        <w:rPr>
          <w:rFonts w:hint="default" w:ascii="Times New Roman Regular" w:hAnsi="Times New Roman Regular" w:eastAsia="Times New Roman" w:cs="Times New Roman Regular"/>
          <w:i w:val="0"/>
          <w:iCs w:val="0"/>
          <w:caps w:val="0"/>
          <w:color w:val="0000FF"/>
          <w:spacing w:val="0"/>
          <w:kern w:val="0"/>
          <w:sz w:val="21"/>
          <w:szCs w:val="21"/>
          <w:u w:val="none"/>
          <w:vertAlign w:val="subscript"/>
          <w:lang w:val="en-US" w:eastAsia="zh-CN" w:bidi="ar"/>
        </w:rPr>
        <w:t>ij</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Z-score standardized value of the j-th predictor variable for the i-th sample;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ϵi</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residual term, which follows a normal distribution with mean 0 and variance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σ</w:t>
      </w:r>
      <w:r>
        <w:rPr>
          <w:rFonts w:hint="default" w:ascii="Times New Roman Regular" w:hAnsi="Times New Roman Regular" w:eastAsia="Times New Roman" w:cs="Times New Roman Regular"/>
          <w:i w:val="0"/>
          <w:iCs w:val="0"/>
          <w:caps w:val="0"/>
          <w:color w:val="0000FF"/>
          <w:spacing w:val="0"/>
          <w:kern w:val="0"/>
          <w:sz w:val="21"/>
          <w:szCs w:val="21"/>
          <w:u w:val="none"/>
          <w:vertAlign w:val="superscript"/>
          <w:lang w:val="en-US" w:eastAsia="zh-CN" w:bidi="ar"/>
        </w:rPr>
        <w:t>2</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w:t>
      </w:r>
    </w:p>
    <w:p w14:paraId="7CC938A6">
      <w:pPr>
        <w:keepNext w:val="0"/>
        <w:keepLines w:val="0"/>
        <w:widowControl/>
        <w:suppressLineNumbers w:val="0"/>
        <w:spacing w:line="300" w:lineRule="auto"/>
        <w:ind w:firstLine="420"/>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To ensure the stability of model fitting and avoid parameter divergence in small-sample scenarios, we set weakly informative priors for all model parameters, consistent with the best practices of environmental statistical modeling (</w:t>
      </w:r>
      <w:r>
        <w:rPr>
          <w:rFonts w:hint="default" w:ascii="Times New Roman Regular" w:hAnsi="Times New Roman Regular" w:cs="Times New Roman Regular"/>
          <w:color w:val="0000FF"/>
        </w:rPr>
        <w:t>Charizanos</w:t>
      </w:r>
      <w:r>
        <w:rPr>
          <w:rFonts w:hint="default" w:ascii="Times New Roman Regular" w:hAnsi="Times New Roman Regular" w:cs="Times New Roman Regular"/>
          <w:color w:val="0000FF"/>
          <w:lang w:val="en-US"/>
        </w:rPr>
        <w:t xml:space="preserve"> et al., 2023</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w:t>
      </w:r>
    </w:p>
    <w:p w14:paraId="1085DFB8">
      <w:pPr>
        <w:spacing w:line="300" w:lineRule="auto"/>
        <w:jc w:val="right"/>
        <w:rPr>
          <w:rFonts w:hint="default" w:ascii="Times New Roman Regular" w:hAnsi="Times New Roman Regular" w:cs="Times New Roman Regular"/>
          <w:color w:val="0000FF"/>
          <w:lang w:val="en-US" w:eastAsia="zh-CN"/>
        </w:rPr>
      </w:pPr>
      <m:oMath>
        <m:r>
          <m:rPr/>
          <w:rPr>
            <w:rFonts w:hint="default" w:ascii="DejaVu Math TeX Gyre" w:hAnsi="DejaVu Math TeX Gyre"/>
            <w:color w:val="0000FF"/>
            <w:sz w:val="21"/>
          </w:rPr>
          <m:t>α∼Student−t(3,0,2.5)</m:t>
        </m:r>
      </m:oMath>
      <w:r>
        <w:rPr>
          <w:rFonts w:hint="default" w:hAnsi="DejaVu Math TeX Gyre"/>
          <w:i w:val="0"/>
          <w:color w:val="0000FF"/>
          <w:sz w:val="21"/>
          <w:lang w:val="en-US"/>
        </w:rPr>
        <w:t xml:space="preserve">                       </w:t>
      </w:r>
      <w:r>
        <w:rPr>
          <w:rFonts w:hint="default" w:ascii="Times New Roman Regular" w:hAnsi="Times New Roman Regular" w:cs="Times New Roman Regular"/>
          <w:i w:val="0"/>
          <w:color w:val="0000FF"/>
          <w:sz w:val="21"/>
          <w:lang w:val="en-US"/>
        </w:rPr>
        <w:t>(12)</w:t>
      </w:r>
    </w:p>
    <w:p w14:paraId="1AD9E430">
      <w:pPr>
        <w:spacing w:line="300" w:lineRule="auto"/>
        <w:jc w:val="right"/>
        <w:rPr>
          <w:rFonts w:hint="default" w:hAnsi="DejaVu Math TeX Gyre"/>
          <w:i w:val="0"/>
          <w:color w:val="0000FF"/>
          <w:sz w:val="21"/>
          <w:lang w:val="en-US"/>
        </w:rPr>
      </w:pPr>
      <m:oMath>
        <m:sSub>
          <m:sSubPr>
            <m:ctrlPr>
              <w:rPr>
                <w:rFonts w:hint="default" w:ascii="DejaVu Math TeX Gyre" w:hAnsi="DejaVu Math TeX Gyre"/>
                <w:color w:val="0000FF"/>
                <w:sz w:val="21"/>
              </w:rPr>
            </m:ctrlPr>
          </m:sSubPr>
          <m:e>
            <m:r>
              <m:rPr/>
              <w:rPr>
                <w:rFonts w:hint="default" w:ascii="DejaVu Math TeX Gyre" w:hAnsi="DejaVu Math TeX Gyre"/>
                <w:color w:val="0000FF"/>
                <w:sz w:val="21"/>
              </w:rPr>
              <m:t>β</m:t>
            </m:r>
            <m:ctrlPr>
              <w:rPr>
                <w:rFonts w:ascii="DejaVu Math TeX Gyre" w:hAnsi="DejaVu Math TeX Gyre"/>
                <w:color w:val="0000FF"/>
                <w:sz w:val="21"/>
              </w:rPr>
            </m:ctrlPr>
          </m:e>
          <m:sub>
            <m:r>
              <m:rPr/>
              <w:rPr>
                <w:rFonts w:hint="default" w:ascii="DejaVu Math TeX Gyre" w:hAnsi="DejaVu Math TeX Gyre"/>
                <w:color w:val="0000FF"/>
                <w:sz w:val="21"/>
              </w:rPr>
              <m:t>k</m:t>
            </m:r>
            <m:ctrlPr>
              <w:rPr>
                <w:rFonts w:ascii="DejaVu Math TeX Gyre" w:hAnsi="DejaVu Math TeX Gyre"/>
                <w:color w:val="0000FF"/>
                <w:sz w:val="21"/>
              </w:rPr>
            </m:ctrlPr>
          </m:sub>
        </m:sSub>
        <m:r>
          <m:rPr/>
          <w:rPr>
            <w:rFonts w:hint="default" w:ascii="DejaVu Math TeX Gyre" w:hAnsi="DejaVu Math TeX Gyre"/>
            <w:color w:val="0000FF"/>
            <w:sz w:val="21"/>
          </w:rPr>
          <m:t>∼</m:t>
        </m:r>
        <m:r>
          <m:rPr>
            <m:scr m:val="script"/>
          </m:rPr>
          <w:rPr>
            <w:rFonts w:hint="default" w:ascii="DejaVu Math TeX Gyre" w:hAnsi="DejaVu Math TeX Gyre" w:eastAsia="MS Mincho"/>
            <w:color w:val="0000FF"/>
            <w:sz w:val="21"/>
          </w:rPr>
          <m:t>N</m:t>
        </m:r>
        <m:r>
          <m:rPr/>
          <w:rPr>
            <w:rFonts w:hint="default" w:ascii="DejaVu Math TeX Gyre" w:hAnsi="DejaVu Math TeX Gyre"/>
            <w:color w:val="0000FF"/>
            <w:sz w:val="21"/>
          </w:rPr>
          <m:t>(0,1),</m:t>
        </m:r>
        <m:r>
          <m:rPr>
            <m:sty m:val="p"/>
          </m:rPr>
          <w:rPr>
            <w:rFonts w:hint="default" w:ascii="DejaVu Math TeX Gyre" w:hAnsi="DejaVu Math TeX Gyre"/>
            <w:color w:val="0000FF"/>
            <w:sz w:val="21"/>
          </w:rPr>
          <m:t xml:space="preserve"> </m:t>
        </m:r>
        <m:r>
          <m:rPr/>
          <w:rPr>
            <w:rFonts w:hint="default" w:ascii="DejaVu Math TeX Gyre" w:hAnsi="DejaVu Math TeX Gyre"/>
            <w:color w:val="0000FF"/>
            <w:sz w:val="21"/>
          </w:rPr>
          <m:t>k=1,2,…,p</m:t>
        </m:r>
      </m:oMath>
      <w:r>
        <w:rPr>
          <w:rFonts w:hint="default" w:hAnsi="DejaVu Math TeX Gyre"/>
          <w:i w:val="0"/>
          <w:color w:val="0000FF"/>
          <w:sz w:val="21"/>
          <w:lang w:val="en-US"/>
        </w:rPr>
        <w:t xml:space="preserve">                       </w:t>
      </w:r>
      <w:r>
        <w:rPr>
          <w:rFonts w:hint="default" w:ascii="Times New Roman Regular" w:hAnsi="Times New Roman Regular" w:cs="Times New Roman Regular"/>
          <w:i w:val="0"/>
          <w:color w:val="0000FF"/>
          <w:sz w:val="21"/>
          <w:lang w:val="en-US"/>
        </w:rPr>
        <w:t>(13)</w:t>
      </w:r>
    </w:p>
    <w:p w14:paraId="554808F5">
      <w:pPr>
        <w:spacing w:line="300" w:lineRule="auto"/>
        <w:jc w:val="right"/>
        <w:rPr>
          <w:rFonts w:hint="default" w:hAnsi="DejaVu Math TeX Gyre"/>
          <w:i w:val="0"/>
          <w:color w:val="0000FF"/>
          <w:sz w:val="21"/>
          <w:lang w:val="en-US" w:eastAsia="zh-CN"/>
        </w:rPr>
      </w:pPr>
      <m:oMath>
        <m:r>
          <m:rPr/>
          <w:rPr>
            <w:rFonts w:hint="default" w:ascii="DejaVu Math TeX Gyre" w:hAnsi="DejaVu Math TeX Gyre"/>
            <w:color w:val="0000FF"/>
            <w:sz w:val="21"/>
          </w:rPr>
          <m:t>σ∼Exponential(1)</m:t>
        </m:r>
      </m:oMath>
      <w:r>
        <w:rPr>
          <w:rFonts w:hint="default" w:hAnsi="DejaVu Math TeX Gyre"/>
          <w:i w:val="0"/>
          <w:color w:val="0000FF"/>
          <w:sz w:val="21"/>
          <w:lang w:val="en-US"/>
        </w:rPr>
        <w:t xml:space="preserve">                         </w:t>
      </w:r>
      <w:r>
        <w:rPr>
          <w:rFonts w:hint="default" w:ascii="Times New Roman Regular" w:hAnsi="Times New Roman Regular" w:cs="Times New Roman Regular"/>
          <w:i w:val="0"/>
          <w:color w:val="0000FF"/>
          <w:sz w:val="21"/>
          <w:lang w:val="en-US"/>
        </w:rPr>
        <w:t>(14)</w:t>
      </w:r>
    </w:p>
    <w:p w14:paraId="1AAFCE4B">
      <w:pPr>
        <w:keepNext w:val="0"/>
        <w:keepLines w:val="0"/>
        <w:widowControl/>
        <w:suppressLineNumbers w:val="0"/>
        <w:spacing w:line="300" w:lineRule="auto"/>
        <w:jc w:val="both"/>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pPr>
      <w:r>
        <w:rPr>
          <w:rFonts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The Student-</w:t>
      </w:r>
      <w:r>
        <w:rPr>
          <w:rFonts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t</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prior on the intercept provides heavy-tailed robustness against potential outliers. The standard normal prior on coefficients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β</w:t>
      </w:r>
      <w:r>
        <w:rPr>
          <w:rFonts w:hint="default" w:ascii="Times New Roman Regular" w:hAnsi="Times New Roman Regular" w:eastAsia="KaTeX_Math" w:cs="Times New Roman Regular"/>
          <w:b w:val="0"/>
          <w:bCs w:val="0"/>
          <w:i/>
          <w:iCs/>
          <w:caps w:val="0"/>
          <w:color w:val="0000FF"/>
          <w:spacing w:val="0"/>
          <w:kern w:val="0"/>
          <w:sz w:val="21"/>
          <w:szCs w:val="21"/>
          <w:u w:val="none"/>
          <w:vertAlign w:val="subscript"/>
          <w:lang w:val="en-US" w:eastAsia="zh-CN" w:bidi="ar"/>
        </w:rPr>
        <w:t>k</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 assumes that predictors are standardized and effects are likely within </w:t>
      </w:r>
      <w:r>
        <w:rPr>
          <w:rFonts w:hint="default" w:ascii="Times New Roman Regular" w:hAnsi="Times New Roman Regular" w:eastAsia="Times New Roman" w:cs="Times New Roman Regular"/>
          <w:b w:val="0"/>
          <w:bCs w:val="0"/>
          <w:i w:val="0"/>
          <w:iCs w:val="0"/>
          <w:caps w:val="0"/>
          <w:color w:val="0000FF"/>
          <w:spacing w:val="0"/>
          <w:kern w:val="0"/>
          <w:sz w:val="21"/>
          <w:szCs w:val="21"/>
          <w:u w:val="none"/>
          <w:vertAlign w:val="baseline"/>
          <w:lang w:val="en-US" w:eastAsia="zh-CN" w:bidi="ar"/>
        </w:rPr>
        <w:t>±2</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standard deviations. The exponential prior on </w:t>
      </w:r>
      <w:r>
        <w:rPr>
          <w:rFonts w:hint="default" w:ascii="Times New Roman Regular" w:hAnsi="Times New Roman Regular" w:eastAsia="KaTeX_Math" w:cs="Times New Roman Regular"/>
          <w:b w:val="0"/>
          <w:bCs w:val="0"/>
          <w:i/>
          <w:iCs/>
          <w:caps w:val="0"/>
          <w:color w:val="0000FF"/>
          <w:spacing w:val="0"/>
          <w:kern w:val="0"/>
          <w:sz w:val="21"/>
          <w:szCs w:val="21"/>
          <w:u w:val="none"/>
          <w:vertAlign w:val="baseline"/>
          <w:lang w:val="en-US" w:eastAsia="zh-CN" w:bidi="ar"/>
        </w:rPr>
        <w:t>σ</w:t>
      </w:r>
      <w:r>
        <w:rPr>
          <w:rFonts w:hint="default" w:ascii="Times New Roman Regular" w:hAnsi="Times New Roman Regular" w:eastAsia="Arial" w:cs="Times New Roman Regular"/>
          <w:i w:val="0"/>
          <w:iCs w:val="0"/>
          <w:caps w:val="0"/>
          <w:color w:val="0000FF"/>
          <w:spacing w:val="0"/>
          <w:kern w:val="0"/>
          <w:sz w:val="21"/>
          <w:szCs w:val="21"/>
          <w:u w:val="none"/>
          <w:vertAlign w:val="baseline"/>
          <w:lang w:val="en-US" w:eastAsia="zh-CN" w:bidi="ar"/>
        </w:rPr>
        <w:t xml:space="preserve"> </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ensures positivity and provides weak regularization of the residual variance.</w:t>
      </w:r>
    </w:p>
    <w:p w14:paraId="2359E682">
      <w:pPr>
        <w:keepNext w:val="0"/>
        <w:keepLines w:val="0"/>
        <w:widowControl/>
        <w:suppressLineNumbers w:val="0"/>
        <w:spacing w:line="300" w:lineRule="auto"/>
        <w:ind w:firstLine="420"/>
        <w:jc w:val="both"/>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pP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Parameter estimation and posterior inference were performed using the Markov Chain Monte Carlo (MCMC) method implemented in the brms package (R software) (</w:t>
      </w:r>
      <w:r>
        <w:rPr>
          <w:rFonts w:hint="default" w:ascii="Times New Roman Regular" w:hAnsi="Times New Roman Regular" w:cs="Times New Roman Regular"/>
          <w:color w:val="0000FF"/>
        </w:rPr>
        <w:t>Addy</w:t>
      </w:r>
      <w:r>
        <w:rPr>
          <w:rFonts w:hint="default" w:ascii="Times New Roman Regular" w:hAnsi="Times New Roman Regular" w:cs="Times New Roman Regular"/>
          <w:color w:val="0000FF"/>
          <w:lang w:val="en-US"/>
        </w:rPr>
        <w:t xml:space="preserve"> et al., 2024</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The sampling settings were as follows: 4 independent Markov chains were run, with a total of 2000 iterations per chain, of which the first 1000 iterations were used as the warm-up (burn-in) period to ensure chain convergence, and the remaining 1000 iterations were used for posterior sampling.</w:t>
      </w:r>
    </w:p>
    <w:p w14:paraId="3EF527D3">
      <w:pPr>
        <w:keepNext w:val="0"/>
        <w:keepLines w:val="0"/>
        <w:widowControl/>
        <w:suppressLineNumbers w:val="0"/>
        <w:spacing w:line="300" w:lineRule="auto"/>
        <w:ind w:firstLine="420"/>
        <w:jc w:val="both"/>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pP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xml:space="preserve">For model performance evaluation, we calculated the Bayesian coefficient of determination </w:t>
      </w:r>
      <m:oMath>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Bayes</m:t>
            </m:r>
            <m:ctrlPr>
              <w:rPr>
                <w:rFonts w:ascii="DejaVu Math TeX Gyre" w:hAnsi="DejaVu Math TeX Gyre" w:cs="Times New Roman Regular"/>
                <w:i/>
                <w:iCs/>
                <w:color w:val="0000FF"/>
                <w:sz w:val="21"/>
              </w:rPr>
            </m:ctrlPr>
          </m:sub>
          <m:sup>
            <m:r>
              <m:rPr>
                <m:nor/>
                <m:sty m:val="p"/>
              </m:rPr>
              <w:rPr>
                <w:rFonts w:hint="default" w:ascii="DejaVu Math TeX Gyre" w:hAnsi="DejaVu Math TeX Gyre" w:cs="Times New Roman Regular"/>
                <w:b w:val="0"/>
                <w:i w:val="0"/>
                <w:iCs/>
                <w:color w:val="0000FF"/>
                <w:sz w:val="21"/>
              </w:rPr>
              <m:t>2</m:t>
            </m:r>
            <m:ctrlPr>
              <w:rPr>
                <w:rFonts w:ascii="DejaVu Math TeX Gyre" w:hAnsi="DejaVu Math TeX Gyre" w:cs="Times New Roman Regular"/>
                <w:i/>
                <w:iCs/>
                <w:color w:val="0000FF"/>
                <w:sz w:val="21"/>
              </w:rPr>
            </m:ctrlPr>
          </m:sup>
        </m:sSubSup>
      </m:oMath>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 which quantifies the proportion of variance in the response variable explained by the model, defined as (</w:t>
      </w:r>
      <w:r>
        <w:rPr>
          <w:rFonts w:hint="default" w:ascii="Times New Roman Regular" w:hAnsi="Times New Roman Regular" w:cs="Times New Roman Regular"/>
          <w:color w:val="0000FF"/>
        </w:rPr>
        <w:t>Huang</w:t>
      </w:r>
      <w:r>
        <w:rPr>
          <w:rFonts w:hint="default" w:ascii="Times New Roman Regular" w:hAnsi="Times New Roman Regular" w:cs="Times New Roman Regular"/>
          <w:color w:val="0000FF"/>
          <w:lang w:val="en-US"/>
        </w:rPr>
        <w:t xml:space="preserve"> et al., 2023</w:t>
      </w:r>
      <w:r>
        <w:rPr>
          <w:rFonts w:hint="default" w:ascii="Times New Roman Regular" w:hAnsi="Times New Roman Regular" w:eastAsia="Arial" w:cs="Times New Roman Regular"/>
          <w:i w:val="0"/>
          <w:iCs w:val="0"/>
          <w:caps w:val="0"/>
          <w:color w:val="0000FF"/>
          <w:spacing w:val="0"/>
          <w:kern w:val="0"/>
          <w:sz w:val="21"/>
          <w:szCs w:val="21"/>
          <w:u w:val="none"/>
          <w:shd w:val="clear" w:fill="FFFFFF"/>
          <w:lang w:val="en-US" w:eastAsia="zh-CN" w:bidi="ar"/>
        </w:rPr>
        <w:t>):</w:t>
      </w:r>
    </w:p>
    <w:p w14:paraId="59BAE131">
      <w:pPr>
        <w:spacing w:line="300" w:lineRule="auto"/>
        <w:jc w:val="right"/>
        <w:rPr>
          <w:rFonts w:hint="default" w:ascii="Times New Roman Regular" w:hAnsi="Times New Roman Regular" w:cs="Times New Roman Regular"/>
          <w:color w:val="0000FF"/>
          <w:lang w:val="en-US" w:eastAsia="zh-CN"/>
        </w:rPr>
      </w:pPr>
      <m:oMath>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Bayes</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i/>
                <w:iCs/>
                <w:color w:val="0000FF"/>
                <w:sz w:val="21"/>
              </w:rPr>
              <m:t>2</m:t>
            </m:r>
            <m:ctrlPr>
              <w:rPr>
                <w:rFonts w:ascii="DejaVu Math TeX Gyre" w:hAnsi="DejaVu Math TeX Gyre" w:cs="Times New Roman Regular"/>
                <w:i/>
                <w:iCs/>
                <w:color w:val="0000FF"/>
                <w:sz w:val="21"/>
              </w:rPr>
            </m:ctrlPr>
          </m:sup>
        </m:sSubSup>
        <m:r>
          <m:rPr>
            <m:nor/>
          </m:rPr>
          <w:rPr>
            <w:rFonts w:hint="default" w:ascii="DejaVu Math TeX Gyre" w:hAnsi="DejaVu Math TeX Gyre" w:cs="Times New Roman Regular"/>
            <w:i/>
            <w:iCs/>
            <w:color w:val="0000FF"/>
            <w:sz w:val="21"/>
          </w:rPr>
          <m:t>=</m:t>
        </m:r>
        <m:f>
          <m:fPr>
            <m:ctrlPr>
              <w:rPr>
                <w:rFonts w:hint="default" w:ascii="DejaVu Math TeX Gyre" w:hAnsi="DejaVu Math TeX Gyre" w:cs="Times New Roman Regular"/>
                <w:i/>
                <w:iCs/>
                <w:color w:val="0000FF"/>
                <w:sz w:val="21"/>
              </w:rPr>
            </m:ctrlPr>
          </m:fPr>
          <m:num>
            <m:r>
              <m:rPr>
                <m:nor/>
              </m:rPr>
              <w:rPr>
                <w:rFonts w:hint="default" w:ascii="DejaVu Math TeX Gyre" w:hAnsi="DejaVu Math TeX Gyre" w:cs="Times New Roman Regular"/>
                <w:i/>
                <w:iCs/>
                <w:color w:val="0000FF"/>
                <w:sz w:val="21"/>
              </w:rPr>
              <m:t>Var(</m:t>
            </m:r>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i/>
                    <w:iCs/>
                    <w:color w:val="0000FF"/>
                    <w:sz w:val="21"/>
                  </w:rPr>
                  <m:t>y</m:t>
                </m:r>
                <m:ctrlPr>
                  <w:rPr>
                    <w:rFonts w:ascii="DejaVu Math TeX Gyre" w:hAnsi="DejaVu Math TeX Gyre" w:cs="Times New Roman Regular"/>
                    <w:i/>
                    <w:iCs/>
                    <w:color w:val="0000FF"/>
                    <w:sz w:val="21"/>
                  </w:rPr>
                </m:ctrlPr>
              </m:e>
            </m:acc>
            <m:r>
              <m:rPr>
                <m:nor/>
              </m:rPr>
              <w:rPr>
                <w:rFonts w:hint="default" w:ascii="DejaVu Math TeX Gyre" w:hAnsi="DejaVu Math TeX Gyre" w:cs="Times New Roman Regular"/>
                <w:i/>
                <w:iCs/>
                <w:color w:val="0000FF"/>
                <w:sz w:val="21"/>
              </w:rPr>
              <m:t>)</m:t>
            </m:r>
            <m:ctrlPr>
              <w:rPr>
                <w:rFonts w:hint="default" w:ascii="DejaVu Math TeX Gyre" w:hAnsi="DejaVu Math TeX Gyre" w:cs="Times New Roman Regular"/>
                <w:i/>
                <w:iCs/>
                <w:color w:val="0000FF"/>
                <w:sz w:val="21"/>
              </w:rPr>
            </m:ctrlPr>
          </m:num>
          <m:den>
            <m:r>
              <m:rPr>
                <m:nor/>
              </m:rPr>
              <w:rPr>
                <w:rFonts w:hint="default" w:ascii="DejaVu Math TeX Gyre" w:hAnsi="DejaVu Math TeX Gyre" w:cs="Times New Roman Regular"/>
                <w:i/>
                <w:iCs/>
                <w:color w:val="0000FF"/>
                <w:sz w:val="21"/>
              </w:rPr>
              <m:t>Var(</m:t>
            </m:r>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i/>
                    <w:iCs/>
                    <w:color w:val="0000FF"/>
                    <w:sz w:val="21"/>
                  </w:rPr>
                  <m:t>y</m:t>
                </m:r>
                <m:ctrlPr>
                  <w:rPr>
                    <w:rFonts w:ascii="DejaVu Math TeX Gyre" w:hAnsi="DejaVu Math TeX Gyre" w:cs="Times New Roman Regular"/>
                    <w:i/>
                    <w:iCs/>
                    <w:color w:val="0000FF"/>
                    <w:sz w:val="21"/>
                  </w:rPr>
                </m:ctrlPr>
              </m:e>
            </m:acc>
            <m:r>
              <m:rPr>
                <m:nor/>
              </m:rPr>
              <w:rPr>
                <w:rFonts w:hint="default" w:ascii="DejaVu Math TeX Gyre" w:hAnsi="DejaVu Math TeX Gyre" w:cs="Times New Roman Regular"/>
                <w:i/>
                <w:iCs/>
                <w:color w:val="0000FF"/>
                <w:sz w:val="21"/>
              </w:rPr>
              <m:t>)+</m:t>
            </m:r>
            <m:sSup>
              <m:sSupPr>
                <m:ctrlPr>
                  <w:rPr>
                    <w:rFonts w:hint="default" w:ascii="DejaVu Math TeX Gyre" w:hAnsi="DejaVu Math TeX Gyre" w:cs="Times New Roman Regular"/>
                    <w:i/>
                    <w:iCs/>
                    <w:color w:val="0000FF"/>
                    <w:sz w:val="21"/>
                  </w:rPr>
                </m:ctrlPr>
              </m:sSupPr>
              <m:e>
                <m:r>
                  <m:rPr>
                    <m:nor/>
                  </m:rPr>
                  <w:rPr>
                    <w:rFonts w:hint="default" w:ascii="DejaVu Math TeX Gyre" w:hAnsi="DejaVu Math TeX Gyre" w:cs="Times New Roman Regular"/>
                    <w:i/>
                    <w:iCs/>
                    <w:color w:val="0000FF"/>
                    <w:sz w:val="21"/>
                  </w:rPr>
                  <m:t>σ</m:t>
                </m:r>
                <m:ctrlPr>
                  <w:rPr>
                    <w:rFonts w:ascii="DejaVu Math TeX Gyre" w:hAnsi="DejaVu Math TeX Gyre" w:cs="Times New Roman Regular"/>
                    <w:i/>
                    <w:iCs/>
                    <w:color w:val="0000FF"/>
                    <w:sz w:val="21"/>
                  </w:rPr>
                </m:ctrlPr>
              </m:e>
              <m:sup>
                <m:r>
                  <m:rPr>
                    <m:nor/>
                  </m:rPr>
                  <w:rPr>
                    <w:rFonts w:hint="default" w:ascii="DejaVu Math TeX Gyre" w:hAnsi="DejaVu Math TeX Gyre" w:cs="Times New Roman Regular"/>
                    <w:i/>
                    <w:iCs/>
                    <w:color w:val="0000FF"/>
                    <w:sz w:val="21"/>
                  </w:rPr>
                  <m:t>2</m:t>
                </m:r>
                <m:ctrlPr>
                  <w:rPr>
                    <w:rFonts w:ascii="DejaVu Math TeX Gyre" w:hAnsi="DejaVu Math TeX Gyre" w:cs="Times New Roman Regular"/>
                    <w:i/>
                    <w:iCs/>
                    <w:color w:val="0000FF"/>
                    <w:sz w:val="21"/>
                  </w:rPr>
                </m:ctrlPr>
              </m:sup>
            </m:sSup>
            <m:ctrlPr>
              <w:rPr>
                <w:rFonts w:hint="default" w:ascii="DejaVu Math TeX Gyre" w:hAnsi="DejaVu Math TeX Gyre" w:cs="Times New Roman Regular"/>
                <w:i/>
                <w:iCs/>
                <w:color w:val="0000FF"/>
                <w:sz w:val="21"/>
              </w:rPr>
            </m:ctrlPr>
          </m:den>
        </m:f>
      </m:oMath>
      <w:r>
        <w:rPr>
          <w:rFonts w:hint="default" w:hAnsi="DejaVu Math TeX Gyre" w:cs="Times New Roman Regular"/>
          <w:i w:val="0"/>
          <w:iCs/>
          <w:color w:val="0000FF"/>
          <w:sz w:val="21"/>
          <w:lang w:val="en-US"/>
        </w:rPr>
        <w:t xml:space="preserve">                            </w:t>
      </w:r>
      <w:r>
        <w:rPr>
          <w:rFonts w:hint="default" w:ascii="Times New Roman Regular" w:hAnsi="Times New Roman Regular" w:cs="Times New Roman Regular"/>
          <w:i w:val="0"/>
          <w:iCs/>
          <w:color w:val="0000FF"/>
          <w:sz w:val="21"/>
          <w:lang w:val="en-US"/>
        </w:rPr>
        <w:t>(15)</w:t>
      </w:r>
    </w:p>
    <w:p w14:paraId="34D34053">
      <w:pPr>
        <w:keepNext w:val="0"/>
        <w:keepLines w:val="0"/>
        <w:widowControl/>
        <w:suppressLineNumbers w:val="0"/>
        <w:spacing w:line="300" w:lineRule="auto"/>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ascii="Times New Roman Regular" w:hAnsi="Times New Roman Regular" w:eastAsia="-webkit-standard" w:cs="Times New Roman Regular"/>
          <w:i w:val="0"/>
          <w:iCs w:val="0"/>
          <w:caps w:val="0"/>
          <w:color w:val="0000FF"/>
          <w:spacing w:val="0"/>
          <w:kern w:val="0"/>
          <w:sz w:val="21"/>
          <w:szCs w:val="21"/>
          <w:u w:val="none"/>
          <w:lang w:val="en-US" w:eastAsia="zh-CN" w:bidi="ar"/>
        </w:rPr>
        <w:t>where</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w:t>
      </w:r>
      <m:oMath>
        <m:r>
          <m:rPr>
            <m:nor/>
          </m:rPr>
          <w:rPr>
            <w:rFonts w:hint="default" w:ascii="DejaVu Math TeX Gyre" w:hAnsi="DejaVu Math TeX Gyre" w:cs="Times New Roman Regular"/>
            <w:i/>
            <w:iCs/>
            <w:color w:val="0000FF"/>
            <w:sz w:val="21"/>
          </w:rPr>
          <m:t>Var(</m:t>
        </m:r>
        <m:acc>
          <m:accPr>
            <m:ctrlPr>
              <w:rPr>
                <w:rFonts w:hint="default" w:ascii="DejaVu Math TeX Gyre" w:hAnsi="DejaVu Math TeX Gyre" w:cs="Times New Roman Regular"/>
                <w:i/>
                <w:iCs/>
                <w:color w:val="0000FF"/>
                <w:sz w:val="21"/>
              </w:rPr>
            </m:ctrlPr>
          </m:accPr>
          <m:e>
            <m:r>
              <m:rPr>
                <m:nor/>
              </m:rPr>
              <w:rPr>
                <w:rFonts w:hint="default" w:ascii="DejaVu Math TeX Gyre" w:hAnsi="DejaVu Math TeX Gyre" w:cs="Times New Roman Regular"/>
                <w:i/>
                <w:iCs/>
                <w:color w:val="0000FF"/>
                <w:sz w:val="21"/>
              </w:rPr>
              <m:t>y</m:t>
            </m:r>
            <m:ctrlPr>
              <w:rPr>
                <w:rFonts w:ascii="DejaVu Math TeX Gyre" w:hAnsi="DejaVu Math TeX Gyre" w:cs="Times New Roman Regular"/>
                <w:i/>
                <w:iCs/>
                <w:color w:val="0000FF"/>
                <w:sz w:val="21"/>
              </w:rPr>
            </m:ctrlPr>
          </m:e>
        </m:acc>
        <m:r>
          <m:rPr>
            <m:nor/>
          </m:rPr>
          <w:rPr>
            <w:rFonts w:hint="default" w:ascii="DejaVu Math TeX Gyre" w:hAnsi="DejaVu Math TeX Gyre" w:cs="Times New Roman Regular"/>
            <w:i/>
            <w:iCs/>
            <w:color w:val="0000FF"/>
            <w:sz w:val="21"/>
          </w:rPr>
          <m:t>)</m:t>
        </m:r>
      </m:oMath>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variance of the model’s predicted values, and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σ</w:t>
      </w:r>
      <w:r>
        <w:rPr>
          <w:rFonts w:hint="default" w:ascii="Times New Roman Regular" w:hAnsi="Times New Roman Regular" w:eastAsia="Times New Roman" w:cs="Times New Roman Regular"/>
          <w:i w:val="0"/>
          <w:iCs w:val="0"/>
          <w:caps w:val="0"/>
          <w:color w:val="0000FF"/>
          <w:spacing w:val="0"/>
          <w:kern w:val="0"/>
          <w:sz w:val="21"/>
          <w:szCs w:val="21"/>
          <w:u w:val="none"/>
          <w:vertAlign w:val="superscript"/>
          <w:lang w:val="en-US" w:eastAsia="zh-CN" w:bidi="ar"/>
        </w:rPr>
        <w:t>2</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variance of the residuals. We reported the posterior mean and 95% credible interval (CI) of </w:t>
      </w:r>
      <m:oMath>
        <m:sSubSup>
          <m:sSubSupPr>
            <m:ctrlPr>
              <w:rPr>
                <w:rFonts w:hint="default" w:ascii="DejaVu Math TeX Gyre" w:hAnsi="DejaVu Math TeX Gyre" w:cs="Times New Roman Regular"/>
                <w:i/>
                <w:iCs/>
                <w:color w:val="0000FF"/>
                <w:sz w:val="21"/>
              </w:rPr>
            </m:ctrlPr>
          </m:sSubSupPr>
          <m:e>
            <m:r>
              <m:rPr>
                <m:nor/>
              </m:rPr>
              <w:rPr>
                <w:rFonts w:hint="default" w:ascii="DejaVu Math TeX Gyre" w:hAnsi="DejaVu Math TeX Gyre" w:cs="Times New Roman Regular"/>
                <w:i/>
                <w:iCs/>
                <w:color w:val="0000FF"/>
                <w:sz w:val="21"/>
              </w:rPr>
              <m:t>R</m:t>
            </m:r>
            <m:ctrlPr>
              <w:rPr>
                <w:rFonts w:ascii="DejaVu Math TeX Gyre" w:hAnsi="DejaVu Math TeX Gyre" w:cs="Times New Roman Regular"/>
                <w:i/>
                <w:iCs/>
                <w:color w:val="0000FF"/>
                <w:sz w:val="21"/>
              </w:rPr>
            </m:ctrlPr>
          </m:e>
          <m:sub>
            <m:r>
              <m:rPr>
                <m:nor/>
              </m:rPr>
              <w:rPr>
                <w:rFonts w:hint="default" w:ascii="DejaVu Math TeX Gyre" w:hAnsi="DejaVu Math TeX Gyre" w:cs="Times New Roman Regular"/>
                <w:i/>
                <w:iCs/>
                <w:color w:val="0000FF"/>
                <w:sz w:val="21"/>
              </w:rPr>
              <m:t>Bayes</m:t>
            </m:r>
            <m:ctrlPr>
              <w:rPr>
                <w:rFonts w:ascii="DejaVu Math TeX Gyre" w:hAnsi="DejaVu Math TeX Gyre" w:cs="Times New Roman Regular"/>
                <w:i/>
                <w:iCs/>
                <w:color w:val="0000FF"/>
                <w:sz w:val="21"/>
              </w:rPr>
            </m:ctrlPr>
          </m:sub>
          <m:sup>
            <m:r>
              <m:rPr>
                <m:nor/>
              </m:rPr>
              <w:rPr>
                <w:rFonts w:hint="default" w:ascii="DejaVu Math TeX Gyre" w:hAnsi="DejaVu Math TeX Gyre" w:cs="Times New Roman Regular"/>
                <w:i/>
                <w:iCs/>
                <w:color w:val="0000FF"/>
                <w:sz w:val="21"/>
              </w:rPr>
              <m:t>2</m:t>
            </m:r>
            <m:ctrlPr>
              <w:rPr>
                <w:rFonts w:ascii="DejaVu Math TeX Gyre" w:hAnsi="DejaVu Math TeX Gyre" w:cs="Times New Roman Regular"/>
                <w:i/>
                <w:iCs/>
                <w:color w:val="0000FF"/>
                <w:sz w:val="21"/>
              </w:rPr>
            </m:ctrlPr>
          </m:sup>
        </m:sSubSup>
      </m:oMath>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w:t>
      </w:r>
    </w:p>
    <w:p w14:paraId="4C446A9F">
      <w:pPr>
        <w:keepNext w:val="0"/>
        <w:keepLines w:val="0"/>
        <w:widowControl/>
        <w:suppressLineNumbers w:val="0"/>
        <w:spacing w:line="300" w:lineRule="auto"/>
        <w:ind w:firstLine="420"/>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ascii="Times New Roman Regular" w:hAnsi="Times New Roman Regular" w:eastAsia="-webkit-standard" w:cs="Times New Roman Regular"/>
          <w:i w:val="0"/>
          <w:iCs w:val="0"/>
          <w:caps w:val="0"/>
          <w:color w:val="0000FF"/>
          <w:spacing w:val="0"/>
          <w:kern w:val="0"/>
          <w:sz w:val="21"/>
          <w:szCs w:val="21"/>
          <w:u w:val="none"/>
          <w:lang w:val="en-US" w:eastAsia="zh-CN" w:bidi="ar"/>
        </w:rPr>
        <w:t>To quantify the directional effect and statistical confidence of each predictor on nitrate concentration, we calculated the</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p</w:t>
      </w:r>
      <w:r>
        <w:rPr>
          <w:rStyle w:val="7"/>
          <w:rFonts w:ascii="Times New Roman Regular" w:hAnsi="Times New Roman Regular" w:eastAsia="Apple Color Emoji" w:cs="Times New Roman Regular"/>
          <w:b w:val="0"/>
          <w:bCs w:val="0"/>
          <w:i w:val="0"/>
          <w:iCs w:val="0"/>
          <w:caps w:val="0"/>
          <w:color w:val="0000FF"/>
          <w:spacing w:val="0"/>
          <w:kern w:val="0"/>
          <w:sz w:val="21"/>
          <w:szCs w:val="21"/>
          <w:u w:val="none"/>
          <w:lang w:val="en-US" w:eastAsia="zh-CN" w:bidi="ar"/>
        </w:rPr>
        <w:t xml:space="preserve">robability of </w:t>
      </w:r>
      <w:r>
        <w:rPr>
          <w:rStyle w:val="7"/>
          <w:rFonts w:hint="default" w:ascii="Times New Roman Regular" w:hAnsi="Times New Roman Regular" w:eastAsia="Apple Color Emoji" w:cs="Times New Roman Regular"/>
          <w:b w:val="0"/>
          <w:bCs w:val="0"/>
          <w:i w:val="0"/>
          <w:iCs w:val="0"/>
          <w:caps w:val="0"/>
          <w:color w:val="0000FF"/>
          <w:spacing w:val="0"/>
          <w:kern w:val="0"/>
          <w:sz w:val="21"/>
          <w:szCs w:val="21"/>
          <w:u w:val="none"/>
          <w:lang w:val="en-US" w:eastAsia="zh-CN" w:bidi="ar"/>
        </w:rPr>
        <w:t>d</w:t>
      </w:r>
      <w:r>
        <w:rPr>
          <w:rStyle w:val="7"/>
          <w:rFonts w:ascii="Times New Roman Regular" w:hAnsi="Times New Roman Regular" w:eastAsia="Apple Color Emoji" w:cs="Times New Roman Regular"/>
          <w:b w:val="0"/>
          <w:bCs w:val="0"/>
          <w:i w:val="0"/>
          <w:iCs w:val="0"/>
          <w:caps w:val="0"/>
          <w:color w:val="0000FF"/>
          <w:spacing w:val="0"/>
          <w:kern w:val="0"/>
          <w:sz w:val="21"/>
          <w:szCs w:val="21"/>
          <w:u w:val="none"/>
          <w:lang w:val="en-US" w:eastAsia="zh-CN" w:bidi="ar"/>
        </w:rPr>
        <w:t>irection (pd)</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for each regression coefficient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β</w:t>
      </w:r>
      <w:r>
        <w:rPr>
          <w:rFonts w:hint="default" w:ascii="Times New Roman Regular" w:hAnsi="Times New Roman Regular" w:eastAsia="Times New Roman" w:cs="Times New Roman Regular"/>
          <w:i w:val="0"/>
          <w:iCs w:val="0"/>
          <w:caps w:val="0"/>
          <w:color w:val="0000FF"/>
          <w:spacing w:val="0"/>
          <w:kern w:val="0"/>
          <w:sz w:val="21"/>
          <w:szCs w:val="21"/>
          <w:u w:val="none"/>
          <w:vertAlign w:val="subscript"/>
          <w:lang w:val="en-US" w:eastAsia="zh-CN" w:bidi="ar"/>
        </w:rPr>
        <w:t>j</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pd is a robust metric for the existence of an effect in Bayesian inference, defined as the proportion of the posterior distribution of the parameter that is consistently on the same side of 0 (either all positive or all negative) (</w:t>
      </w:r>
      <w:r>
        <w:rPr>
          <w:rFonts w:hint="default" w:ascii="Times New Roman Regular" w:hAnsi="Times New Roman Regular" w:cs="Times New Roman Regular"/>
          <w:color w:val="0000FF"/>
        </w:rPr>
        <w:t xml:space="preserve">Weller </w:t>
      </w:r>
      <w:r>
        <w:rPr>
          <w:rFonts w:hint="default" w:ascii="Times New Roman Regular" w:hAnsi="Times New Roman Regular" w:cs="Times New Roman Regular"/>
          <w:color w:val="0000FF"/>
          <w:lang w:val="en-US"/>
        </w:rPr>
        <w:t>et al., 2022</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The calculation formula is:</w:t>
      </w:r>
    </w:p>
    <w:p w14:paraId="3DC803D6">
      <w:pPr>
        <w:keepNext w:val="0"/>
        <w:keepLines w:val="0"/>
        <w:widowControl/>
        <w:suppressLineNumbers w:val="0"/>
        <w:spacing w:line="300" w:lineRule="auto"/>
        <w:ind w:firstLine="420"/>
        <w:jc w:val="right"/>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m:oMath>
        <m:r>
          <m:rPr>
            <m:nor/>
          </m:rPr>
          <w:rPr>
            <w:rFonts w:hint="default" w:ascii="DejaVu Math TeX Gyre" w:hAnsi="DejaVu Math TeX Gyre" w:cs="Times New Roman Regular"/>
            <w:i/>
            <w:iCs w:val="0"/>
            <w:color w:val="0000FF"/>
            <w:sz w:val="21"/>
          </w:rPr>
          <m:t>pd=</m:t>
        </m:r>
        <m:func>
          <m:funcPr>
            <m:ctrlPr>
              <w:rPr>
                <w:rFonts w:hint="default" w:ascii="DejaVu Math TeX Gyre" w:hAnsi="DejaVu Math TeX Gyre" w:cs="Times New Roman Regular"/>
                <w:i/>
                <w:iCs w:val="0"/>
                <w:color w:val="0000FF"/>
                <w:sz w:val="21"/>
              </w:rPr>
            </m:ctrlPr>
          </m:funcPr>
          <m:fName>
            <m:r>
              <m:rPr>
                <m:nor/>
              </m:rPr>
              <w:rPr>
                <w:rFonts w:hint="default" w:ascii="DejaVu Math TeX Gyre" w:hAnsi="DejaVu Math TeX Gyre" w:cs="Times New Roman Regular"/>
                <w:i/>
                <w:iCs w:val="0"/>
                <w:color w:val="0000FF"/>
                <w:sz w:val="21"/>
              </w:rPr>
              <m:t>max</m:t>
            </m:r>
            <m:ctrlPr>
              <w:rPr>
                <w:rFonts w:ascii="DejaVu Math TeX Gyre" w:hAnsi="DejaVu Math TeX Gyre" w:cs="Times New Roman Regular"/>
                <w:i/>
                <w:iCs w:val="0"/>
                <w:color w:val="0000FF"/>
                <w:sz w:val="21"/>
              </w:rPr>
            </m:ctrlPr>
          </m:fName>
          <m:e>
            <m:r>
              <m:rPr>
                <m:nor/>
              </m:rPr>
              <w:rPr>
                <w:rFonts w:hint="default" w:ascii="DejaVu Math TeX Gyre" w:hAnsi="DejaVu Math TeX Gyre" w:cs="Times New Roman Regular"/>
                <w:i/>
                <w:iCs w:val="0"/>
                <w:color w:val="0000FF"/>
                <w:sz w:val="21"/>
              </w:rPr>
              <m:t>(</m:t>
            </m:r>
            <m:ctrlPr>
              <w:rPr>
                <w:rFonts w:ascii="DejaVu Math TeX Gyre" w:hAnsi="DejaVu Math TeX Gyre" w:cs="Times New Roman Regular"/>
                <w:i/>
                <w:iCs w:val="0"/>
                <w:color w:val="0000FF"/>
                <w:sz w:val="21"/>
              </w:rPr>
            </m:ctrlPr>
          </m:e>
        </m:func>
        <m:r>
          <m:rPr>
            <m:nor/>
          </m:rPr>
          <w:rPr>
            <w:rFonts w:hint="default" w:ascii="DejaVu Math TeX Gyre" w:hAnsi="DejaVu Math TeX Gyre" w:cs="Times New Roman Regular"/>
            <w:i/>
            <w:iCs w:val="0"/>
            <w:color w:val="0000FF"/>
            <w:sz w:val="21"/>
          </w:rPr>
          <m:t>P(</m:t>
        </m:r>
        <m:sSub>
          <m:sSubPr>
            <m:ctrlPr>
              <w:rPr>
                <w:rFonts w:hint="default" w:ascii="DejaVu Math TeX Gyre" w:hAnsi="DejaVu Math TeX Gyre" w:cs="Times New Roman Regular"/>
                <w:i/>
                <w:iCs w:val="0"/>
                <w:color w:val="0000FF"/>
                <w:sz w:val="21"/>
              </w:rPr>
            </m:ctrlPr>
          </m:sSubPr>
          <m:e>
            <m:r>
              <m:rPr>
                <m:nor/>
              </m:rPr>
              <w:rPr>
                <w:rFonts w:hint="default" w:ascii="DejaVu Math TeX Gyre" w:hAnsi="DejaVu Math TeX Gyre" w:cs="Times New Roman Regular"/>
                <w:i/>
                <w:iCs w:val="0"/>
                <w:color w:val="0000FF"/>
                <w:sz w:val="21"/>
              </w:rPr>
              <m:t>β</m:t>
            </m:r>
            <m:ctrlPr>
              <w:rPr>
                <w:rFonts w:ascii="DejaVu Math TeX Gyre" w:hAnsi="DejaVu Math TeX Gyre" w:cs="Times New Roman Regular"/>
                <w:i/>
                <w:iCs w:val="0"/>
                <w:color w:val="0000FF"/>
                <w:sz w:val="21"/>
              </w:rPr>
            </m:ctrlPr>
          </m:e>
          <m:sub>
            <m:r>
              <m:rPr>
                <m:nor/>
              </m:rPr>
              <w:rPr>
                <w:rFonts w:hint="default" w:ascii="DejaVu Math TeX Gyre" w:hAnsi="DejaVu Math TeX Gyre" w:cs="Times New Roman Regular"/>
                <w:i/>
                <w:iCs w:val="0"/>
                <w:color w:val="0000FF"/>
                <w:sz w:val="21"/>
              </w:rPr>
              <m:t>j</m:t>
            </m:r>
            <m:ctrlPr>
              <w:rPr>
                <w:rFonts w:ascii="DejaVu Math TeX Gyre" w:hAnsi="DejaVu Math TeX Gyre" w:cs="Times New Roman Regular"/>
                <w:i/>
                <w:iCs w:val="0"/>
                <w:color w:val="0000FF"/>
                <w:sz w:val="21"/>
              </w:rPr>
            </m:ctrlPr>
          </m:sub>
        </m:sSub>
        <m:r>
          <m:rPr>
            <m:nor/>
          </m:rPr>
          <w:rPr>
            <w:rFonts w:hint="default" w:ascii="DejaVu Math TeX Gyre" w:hAnsi="DejaVu Math TeX Gyre" w:cs="Times New Roman Regular"/>
            <w:i/>
            <w:iCs w:val="0"/>
            <w:color w:val="0000FF"/>
            <w:sz w:val="21"/>
          </w:rPr>
          <m:t>&gt;0|y,X),P(</m:t>
        </m:r>
        <m:sSub>
          <m:sSubPr>
            <m:ctrlPr>
              <w:rPr>
                <w:rFonts w:hint="default" w:ascii="DejaVu Math TeX Gyre" w:hAnsi="DejaVu Math TeX Gyre" w:cs="Times New Roman Regular"/>
                <w:i/>
                <w:iCs w:val="0"/>
                <w:color w:val="0000FF"/>
                <w:sz w:val="21"/>
              </w:rPr>
            </m:ctrlPr>
          </m:sSubPr>
          <m:e>
            <m:r>
              <m:rPr>
                <m:nor/>
              </m:rPr>
              <w:rPr>
                <w:rFonts w:hint="default" w:ascii="DejaVu Math TeX Gyre" w:hAnsi="DejaVu Math TeX Gyre" w:cs="Times New Roman Regular"/>
                <w:i/>
                <w:iCs w:val="0"/>
                <w:color w:val="0000FF"/>
                <w:sz w:val="21"/>
              </w:rPr>
              <m:t>β</m:t>
            </m:r>
            <m:ctrlPr>
              <w:rPr>
                <w:rFonts w:ascii="DejaVu Math TeX Gyre" w:hAnsi="DejaVu Math TeX Gyre" w:cs="Times New Roman Regular"/>
                <w:i/>
                <w:iCs w:val="0"/>
                <w:color w:val="0000FF"/>
                <w:sz w:val="21"/>
              </w:rPr>
            </m:ctrlPr>
          </m:e>
          <m:sub>
            <m:r>
              <m:rPr>
                <m:nor/>
              </m:rPr>
              <w:rPr>
                <w:rFonts w:hint="default" w:ascii="DejaVu Math TeX Gyre" w:hAnsi="DejaVu Math TeX Gyre" w:cs="Times New Roman Regular"/>
                <w:i/>
                <w:iCs w:val="0"/>
                <w:color w:val="0000FF"/>
                <w:sz w:val="21"/>
              </w:rPr>
              <m:t>j</m:t>
            </m:r>
            <m:ctrlPr>
              <w:rPr>
                <w:rFonts w:ascii="DejaVu Math TeX Gyre" w:hAnsi="DejaVu Math TeX Gyre" w:cs="Times New Roman Regular"/>
                <w:i/>
                <w:iCs w:val="0"/>
                <w:color w:val="0000FF"/>
                <w:sz w:val="21"/>
              </w:rPr>
            </m:ctrlPr>
          </m:sub>
        </m:sSub>
        <m:r>
          <m:rPr>
            <m:nor/>
          </m:rPr>
          <w:rPr>
            <w:rFonts w:hint="default" w:ascii="DejaVu Math TeX Gyre" w:hAnsi="DejaVu Math TeX Gyre" w:cs="Times New Roman Regular"/>
            <w:i/>
            <w:iCs w:val="0"/>
            <w:color w:val="0000FF"/>
            <w:sz w:val="21"/>
          </w:rPr>
          <m:t>&lt;0|y,X))</m:t>
        </m:r>
      </m:oMath>
      <w:r>
        <w:rPr>
          <w:rFonts w:hint="default" w:hAnsi="DejaVu Math TeX Gyre" w:cs="Times New Roman Regular"/>
          <w:i w:val="0"/>
          <w:iCs w:val="0"/>
          <w:color w:val="0000FF"/>
          <w:sz w:val="21"/>
          <w:lang w:val="en-US"/>
        </w:rPr>
        <w:t xml:space="preserve">                   </w:t>
      </w:r>
      <w:r>
        <w:rPr>
          <w:rFonts w:hint="default" w:ascii="Times New Roman Regular" w:hAnsi="Times New Roman Regular" w:cs="Times New Roman Regular"/>
          <w:i w:val="0"/>
          <w:iCs w:val="0"/>
          <w:color w:val="0000FF"/>
          <w:sz w:val="21"/>
          <w:lang w:val="en-US"/>
        </w:rPr>
        <w:t>(16)</w:t>
      </w:r>
    </w:p>
    <w:p w14:paraId="5590208D">
      <w:pPr>
        <w:keepNext w:val="0"/>
        <w:keepLines w:val="0"/>
        <w:widowControl/>
        <w:suppressLineNumbers w:val="0"/>
        <w:spacing w:line="300" w:lineRule="auto"/>
        <w:jc w:val="both"/>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pPr>
      <w:r>
        <w:rPr>
          <w:rFonts w:ascii="Times New Roman Regular" w:hAnsi="Times New Roman Regular" w:eastAsia="-webkit-standard" w:cs="Times New Roman Regular"/>
          <w:i w:val="0"/>
          <w:iCs w:val="0"/>
          <w:caps w:val="0"/>
          <w:color w:val="0000FF"/>
          <w:spacing w:val="0"/>
          <w:kern w:val="0"/>
          <w:sz w:val="21"/>
          <w:szCs w:val="21"/>
          <w:u w:val="none"/>
          <w:lang w:val="en-US" w:eastAsia="zh-CN" w:bidi="ar"/>
        </w:rPr>
        <w:t>where</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P(βj&gt;0∣y,X)</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is the posterior probability that the regression coefficient is positive given the observed data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y</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and predictor matrix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X</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and </w:t>
      </w:r>
      <w:r>
        <w:rPr>
          <w:rFonts w:hint="default" w:ascii="Times New Roman Regular" w:hAnsi="Times New Roman Regular" w:eastAsia="Times New Roman" w:cs="Times New Roman Regular"/>
          <w:i w:val="0"/>
          <w:iCs w:val="0"/>
          <w:caps w:val="0"/>
          <w:color w:val="0000FF"/>
          <w:spacing w:val="0"/>
          <w:kern w:val="0"/>
          <w:sz w:val="21"/>
          <w:szCs w:val="21"/>
          <w:u w:val="none"/>
          <w:lang w:val="en-US" w:eastAsia="zh-CN" w:bidi="ar"/>
        </w:rPr>
        <w:t>P(βj&lt;0∣y,X)</w:t>
      </w:r>
      <w:r>
        <w:rPr>
          <w:rFonts w:hint="default" w:ascii="Times New Roman Regular" w:hAnsi="Times New Roman Regular" w:eastAsia="-webkit-standard" w:cs="Times New Roman Regular"/>
          <w:i w:val="0"/>
          <w:iCs w:val="0"/>
          <w:caps w:val="0"/>
          <w:color w:val="0000FF"/>
          <w:spacing w:val="0"/>
          <w:kern w:val="0"/>
          <w:sz w:val="21"/>
          <w:szCs w:val="21"/>
          <w:u w:val="none"/>
          <w:lang w:val="en-US" w:eastAsia="zh-CN" w:bidi="ar"/>
        </w:rPr>
        <w:t xml:space="preserve"> is the posterior probability that the regression coefficient is negative. The pd value ranges from 0.5 to 1, with higher values indicating higher confidence in the directional effect of the predictor. </w:t>
      </w:r>
    </w:p>
    <w:p w14:paraId="4D1F4DE0">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5BD44444">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76A1C113">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I have a few conceptual questions about the work:</w:t>
      </w:r>
    </w:p>
    <w:p w14:paraId="78E47FA0">
      <w:pPr>
        <w:keepNext w:val="0"/>
        <w:keepLines w:val="0"/>
        <w:pageBreakBefore w:val="0"/>
        <w:widowControl w:val="0"/>
        <w:numPr>
          <w:ilvl w:val="0"/>
          <w:numId w:val="4"/>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analysis was done on a small-scale groundwater system (basically very large field scale). Within the area the groundwater system likely has very similar physical characteristics. Wouldn’t it be better to apply the method on a larger scale with more physical differences?</w:t>
      </w:r>
    </w:p>
    <w:p w14:paraId="6472855B">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jc w:val="both"/>
        <w:textAlignment w:val="auto"/>
        <w:rPr>
          <w:rFonts w:hint="default" w:ascii="Times New Roman Regular" w:hAnsi="Times New Roman Regular" w:cs="Times New Roman Regular"/>
          <w:lang w:val="en-US" w:eastAsia="zh-CN"/>
        </w:rPr>
      </w:pPr>
    </w:p>
    <w:p w14:paraId="68D94EB5">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 xml:space="preserve">We acknowledge that validating the proposed framework across a larger region characterized by more diverse hydrogeological environments would further demonstrate its robustness. The selection of the study </w:t>
      </w:r>
      <w:r>
        <w:rPr>
          <w:rFonts w:hint="eastAsia" w:ascii="Times New Roman Regular" w:hAnsi="Times New Roman Regular" w:cs="Times New Roman Regular"/>
          <w:color w:val="0000FF"/>
          <w:lang w:val="en-US" w:eastAsia="zh-CN"/>
        </w:rPr>
        <w:t xml:space="preserve">area </w:t>
      </w:r>
      <w:r>
        <w:rPr>
          <w:rFonts w:hint="default" w:ascii="Times New Roman Regular" w:hAnsi="Times New Roman Regular" w:cs="Times New Roman Regular" w:eastAsiaTheme="minorEastAsia"/>
          <w:color w:val="0000FF"/>
          <w:lang w:val="en-US" w:eastAsia="zh-CN"/>
        </w:rPr>
        <w:t>was primarily based on the following factors:</w:t>
      </w:r>
    </w:p>
    <w:p w14:paraId="773E18C6">
      <w:pPr>
        <w:keepNext w:val="0"/>
        <w:keepLines w:val="0"/>
        <w:pageBreakBefore w:val="0"/>
        <w:widowControl w:val="0"/>
        <w:numPr>
          <w:ilvl w:val="0"/>
          <w:numId w:val="5"/>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Nitrate contamination in the North China Plain is predominantly attributed to agricultural non-point sources, and the critical processes of nitrogen migration, transformation, and leaching into groundwater are concentrated at the field scale. The 3000-hectare study site serves as a typical representative of the regional intensive agricultural system. Intensive sampling of irrigation wells across three hydrological seasons accurately captured the fine-scale spatiotemporal heterogeneity of nitrate concentrations and revealed the underlying seasonal driving mechanisms, providing an important scientific basis for large-scale regional groundwater pollution management. Developing a precise prediction framework at this scale offers actionable insights for local water resource management and pollution mitigation, which are often more direct than those derived from regional-scale assessments.</w:t>
      </w:r>
    </w:p>
    <w:p w14:paraId="58839D94">
      <w:pPr>
        <w:keepNext w:val="0"/>
        <w:keepLines w:val="0"/>
        <w:pageBreakBefore w:val="0"/>
        <w:widowControl w:val="0"/>
        <w:numPr>
          <w:ilvl w:val="0"/>
          <w:numId w:val="5"/>
        </w:numPr>
        <w:kinsoku/>
        <w:wordWrap/>
        <w:overflowPunct/>
        <w:topLinePunct w:val="0"/>
        <w:autoSpaceDE/>
        <w:autoSpaceDN/>
        <w:bidi w:val="0"/>
        <w:adjustRightInd/>
        <w:snapToGrid/>
        <w:spacing w:line="300" w:lineRule="auto"/>
        <w:ind w:left="0" w:leftChars="0"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The core innovation of this study lies in addressing data sparsity through virtual sample generation and hybrid quantum-classical machine learning (ML). To rigorously validate whether these methods can effectively recover latent patterns from limited data, a dataset with high spatial resolution is required as a benchmark. The dense network of irrigation wells in our study area provides a rare opportunity for ground-truthing. This serves as a necessary prerequisite before deploying the model to larger, data-scarce regions where ground-truth data are unavailable.</w:t>
      </w:r>
    </w:p>
    <w:p w14:paraId="5A8D9ABF">
      <w:pPr>
        <w:keepNext w:val="0"/>
        <w:keepLines w:val="0"/>
        <w:pageBreakBefore w:val="0"/>
        <w:widowControl w:val="0"/>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are currently planning to extend this framework to multiple watersheds with diverse hydrogeological settings to further test its transferability.</w:t>
      </w:r>
    </w:p>
    <w:p w14:paraId="2B0215C0">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jc w:val="both"/>
        <w:textAlignment w:val="auto"/>
        <w:rPr>
          <w:rFonts w:hint="default" w:ascii="Times New Roman Regular" w:hAnsi="Times New Roman Regular" w:cs="Times New Roman Regular"/>
          <w:lang w:val="en-US" w:eastAsia="zh-CN"/>
        </w:rPr>
      </w:pPr>
    </w:p>
    <w:p w14:paraId="522BC460">
      <w:pPr>
        <w:keepNext w:val="0"/>
        <w:keepLines w:val="0"/>
        <w:pageBreakBefore w:val="0"/>
        <w:widowControl w:val="0"/>
        <w:numPr>
          <w:ilvl w:val="0"/>
          <w:numId w:val="4"/>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In the manuscript (on page 8) it is mentioned that the sampling was done on irrigation wells, could this have an impact on the winter-summer differences?</w:t>
      </w:r>
    </w:p>
    <w:p w14:paraId="6A87A83F">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5E83B79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appreciate the reviewer’s insightful observation regarding the potential influence of sampling from irrigation wells on seasonal differences. This is a critical methodological consideration for groundwater research.</w:t>
      </w:r>
    </w:p>
    <w:p w14:paraId="39F709F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Regarding the concern that sampling from irrigation wells might introduce bias into the observed seasonal differences, we would like to clarify the following points:</w:t>
      </w:r>
    </w:p>
    <w:p w14:paraId="4B44B791">
      <w:pPr>
        <w:keepNext w:val="0"/>
        <w:keepLines w:val="0"/>
        <w:pageBreakBefore w:val="0"/>
        <w:widowControl w:val="0"/>
        <w:numPr>
          <w:ilvl w:val="0"/>
          <w:numId w:val="6"/>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Rigorous </w:t>
      </w:r>
      <w:r>
        <w:rPr>
          <w:rFonts w:hint="eastAsia" w:ascii="Times New Roman Regular" w:hAnsi="Times New Roman Regular" w:cs="Times New Roman Regular"/>
          <w:color w:val="0000FF"/>
          <w:lang w:val="en-US" w:eastAsia="zh-CN"/>
        </w:rPr>
        <w:t>p</w:t>
      </w:r>
      <w:r>
        <w:rPr>
          <w:rFonts w:hint="default" w:ascii="Times New Roman Regular" w:hAnsi="Times New Roman Regular" w:cs="Times New Roman Regular"/>
          <w:color w:val="0000FF"/>
          <w:lang w:val="en-US" w:eastAsia="zh-CN"/>
        </w:rPr>
        <w:t>re-sampling purging to mitigate well effects:</w:t>
      </w:r>
    </w:p>
    <w:p w14:paraId="143D456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acknowledge that irrigation wells may exhibit different hydraulic behaviors in summer versus winter. However, to ensure data comparability across seasons, we implemented a strict well-purging protocol before sampling. As described in Section 2.2.1: “Prior to sample collection, each well was purged by pumping. Sampling commenced only after the pumped volume exceeded three times the well’s casing volume and on-site parameters had stabilized.” This procedure effectively removes stagnant well water and ensures that the samples represent water from the aquifer formation rather than the wellbore itself, thereby mitigating the “well storage effect” that could otherwise be exaggerated by seasonal usage differences.</w:t>
      </w:r>
    </w:p>
    <w:p w14:paraId="1080FE90">
      <w:pPr>
        <w:keepNext w:val="0"/>
        <w:keepLines w:val="0"/>
        <w:pageBreakBefore w:val="0"/>
        <w:widowControl w:val="0"/>
        <w:numPr>
          <w:ilvl w:val="0"/>
          <w:numId w:val="6"/>
        </w:numPr>
        <w:kinsoku/>
        <w:wordWrap/>
        <w:overflowPunct/>
        <w:topLinePunct w:val="0"/>
        <w:autoSpaceDE/>
        <w:autoSpaceDN/>
        <w:bidi w:val="0"/>
        <w:adjustRightInd/>
        <w:snapToGrid/>
        <w:spacing w:line="300" w:lineRule="auto"/>
        <w:ind w:left="0" w:leftChars="0"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Mechanistic explanation for seasonal differences:</w:t>
      </w:r>
    </w:p>
    <w:p w14:paraId="436284E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seasonal variations we observed are driven by distinct hydrological processes rather than sampling artifacts. The high nitrate concentrations in the dry season are attributed to strong evaporation and reduced recharge (evaporation concentration effect), while the lower concentrations in the wet season result from precipitation dilution. These mechanisms align with stable isotope evidence (δD/δ</w:t>
      </w:r>
      <w:r>
        <w:rPr>
          <w:rFonts w:hint="default" w:ascii="Times New Roman Regular" w:hAnsi="Times New Roman Regular" w:cs="Times New Roman Regular"/>
          <w:color w:val="0000FF"/>
          <w:vertAlign w:val="superscript"/>
          <w:lang w:val="en-US" w:eastAsia="zh-CN"/>
        </w:rPr>
        <w:t>18</w:t>
      </w:r>
      <w:r>
        <w:rPr>
          <w:rFonts w:hint="default" w:ascii="Times New Roman Regular" w:hAnsi="Times New Roman Regular" w:cs="Times New Roman Regular"/>
          <w:color w:val="0000FF"/>
          <w:lang w:val="en-US" w:eastAsia="zh-CN"/>
        </w:rPr>
        <w:t>O) and the MixSIAR model results, confirming that the observed differences reflect actual hydrochemical dynamics rather than artifacts of well operation.</w:t>
      </w:r>
    </w:p>
    <w:p w14:paraId="679E52B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786DE0C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appreciate the reviewer’s concern regarding the use of irrigation wells for seasonal sampling. However, this approach is widely adopted and validated in top-tier hydrological and environmental journals. For instance, Chen et al. conducted a 5-year monitoring study using the same irrigation wells to track seasonal nitrate dynamics in the North China Plain . Similarly, Ning et al. recently published a study quantifying seasonal nitrate differences (dry vs. rainy seasons) in irrigation districts using hydrochemistry and MixSIAR models, which is methodologically comparable to our approach .</w:t>
      </w:r>
    </w:p>
    <w:p w14:paraId="0D506B6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key to ensuring data reliability lies in rigorous purging protocols (pumping until parameter stabilization), as demonstrated by Xiong et al. who explicitly reported using agricultural irrigation wells with thorough purging prior to sampling. Furthermore, Kyte et al. validated that irrigation wells effectively capture the impact of agricultural practices on groundwater quality by comparing irrigated and non-irrigated plots .</w:t>
      </w:r>
    </w:p>
    <w:p w14:paraId="717C440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5A5B0A0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Since our study focuses on farmland groundwater and agricultural pollution risks, irrigation wells are the most relevant sampling points because:</w:t>
      </w:r>
    </w:p>
    <w:p w14:paraId="427C9D5E">
      <w:pPr>
        <w:keepNext w:val="0"/>
        <w:keepLines w:val="0"/>
        <w:pageBreakBefore w:val="0"/>
        <w:widowControl w:val="0"/>
        <w:numPr>
          <w:ilvl w:val="0"/>
          <w:numId w:val="7"/>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They represent the water source actually used for irrigation.</w:t>
      </w:r>
    </w:p>
    <w:p w14:paraId="3044E0E4">
      <w:pPr>
        <w:keepNext w:val="0"/>
        <w:keepLines w:val="0"/>
        <w:pageBreakBefore w:val="0"/>
        <w:widowControl w:val="0"/>
        <w:numPr>
          <w:ilvl w:val="0"/>
          <w:numId w:val="7"/>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They are most susceptible to surface agricultural loading.</w:t>
      </w:r>
    </w:p>
    <w:p w14:paraId="1A8C6DDE">
      <w:pPr>
        <w:keepNext w:val="0"/>
        <w:keepLines w:val="0"/>
        <w:pageBreakBefore w:val="0"/>
        <w:widowControl w:val="0"/>
        <w:numPr>
          <w:ilvl w:val="0"/>
          <w:numId w:val="7"/>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active exploitation ensures these wells reflect the actively circulating shallow groundwater system where nitrate pollution is most dynamic.</w:t>
      </w:r>
    </w:p>
    <w:p w14:paraId="4D732B02">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A5D99C4">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References:</w:t>
      </w:r>
    </w:p>
    <w:p w14:paraId="4961E05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Chen S, Wu W, Hu K, et al., 2010. The effects of land use change and irrigation water resource on nitrate contamination in shallow groundwater at county scale[J]. Ecological Complexity, 7(2): 131-138.</w:t>
      </w:r>
    </w:p>
    <w:p w14:paraId="4F2031B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Ning J, Li P, Wu J, et al., 2025. Source apportionment of groundwater nitrate pollution in irrigation districts along the Jing River, Guanzhong Basin: Insights from hydrochemistry, isotopes, and the MixSIAR model[J]. Journal of Environmental Chemical Engineering, 13(3): 116231.</w:t>
      </w:r>
    </w:p>
    <w:p w14:paraId="296F981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Xiong X, Hao G, Xu L, et al., 2025. Characteristics of spatial distributions for nitrate and traceability of pollution in shallow groundwater of the Qingshui River Basin, China[J]. Hydrology Research, 56(9): 920-936.</w:t>
      </w:r>
    </w:p>
    <w:p w14:paraId="12B6CA1F">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color w:val="0000FF"/>
          <w:lang w:val="en-US" w:eastAsia="zh-CN"/>
        </w:rPr>
        <w:t>Kyte E, Cey E, Hrapovic L, et al., 2023. Nitrate in shallow groundwater after more than four decades of manure application[J]. Journal of Contaminant Hydrology, 256: 104200.</w:t>
      </w:r>
    </w:p>
    <w:p w14:paraId="01385FA7">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0FB96116">
      <w:pPr>
        <w:keepNext w:val="0"/>
        <w:keepLines w:val="0"/>
        <w:pageBreakBefore w:val="0"/>
        <w:widowControl w:val="0"/>
        <w:numPr>
          <w:ilvl w:val="0"/>
          <w:numId w:val="4"/>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I thought that the large unsaturated zone (&gt;10m?) would limit the seasonal response of both recharge and nitrate leaching in the groundwater system. However, the presented water quality measurements show otherwise. Maybe other external factors: groundwater abstraction - for example for irrigation -, groundwater dynamics on a regional scale... could have an impact as well?</w:t>
      </w:r>
    </w:p>
    <w:p w14:paraId="61BA119C">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jc w:val="both"/>
        <w:textAlignment w:val="auto"/>
        <w:rPr>
          <w:rFonts w:hint="default" w:ascii="Times New Roman Regular" w:hAnsi="Times New Roman Regular" w:cs="Times New Roman Regular"/>
          <w:lang w:val="en-US" w:eastAsia="zh-CN"/>
        </w:rPr>
      </w:pPr>
    </w:p>
    <w:p w14:paraId="204490A7">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thank the reviewer for this insightful comment. We agree that theoretically, a thick unsaturated zone (typically &gt;10 m) acts as a buffer, delaying recharge and nitrate leaching, which should dampen seasonal signals in groundwater. However, the observed seasonal variability in our study area is the result of a complex interplay between legacy nitrogen accumulation, extreme hydrological events, and intense anthropogenic interference, which collectively overcome the buffering capacity of the vadose zone. We have clarified this mechanism in the revised Discussion Section 4.1 (Nitrogen sources, migration, and transformation) and Section 4.5 (Limitations). Specifically, we address this concern from three aspects.</w:t>
      </w:r>
    </w:p>
    <w:p w14:paraId="0EC146A9">
      <w:pPr>
        <w:keepNext w:val="0"/>
        <w:keepLines w:val="0"/>
        <w:pageBreakBefore w:val="0"/>
        <w:widowControl w:val="0"/>
        <w:numPr>
          <w:ilvl w:val="0"/>
          <w:numId w:val="8"/>
        </w:numPr>
        <w:kinsoku/>
        <w:wordWrap/>
        <w:overflowPunct/>
        <w:topLinePunct w:val="0"/>
        <w:autoSpaceDE/>
        <w:autoSpaceDN/>
        <w:bidi w:val="0"/>
        <w:adjustRightInd/>
        <w:snapToGrid/>
        <w:spacing w:line="300" w:lineRule="auto"/>
        <w:ind w:leftChars="0"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Legacy </w:t>
      </w:r>
      <w:r>
        <w:rPr>
          <w:rFonts w:hint="eastAsia" w:ascii="Times New Roman Regular" w:hAnsi="Times New Roman Regular" w:cs="Times New Roman Regular"/>
          <w:color w:val="0000FF"/>
          <w:lang w:val="en-US" w:eastAsia="zh-CN"/>
        </w:rPr>
        <w:t>n</w:t>
      </w:r>
      <w:r>
        <w:rPr>
          <w:rFonts w:hint="default" w:ascii="Times New Roman Regular" w:hAnsi="Times New Roman Regular" w:cs="Times New Roman Regular"/>
          <w:color w:val="0000FF"/>
          <w:lang w:val="en-US" w:eastAsia="zh-CN"/>
        </w:rPr>
        <w:t>itrogen reservoir in the vadose zone: As noted in our Discussion (Section 4.1), the elevated nitrate levels are not solely derived from current seasonal fertilizer application but are significantly sustained by legacy nitrogen accumulated over decades of intensive agriculture. The North China Plain has a long history of high nitrogen input (540-660 kg N ha</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xml:space="preserve"> yr</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xml:space="preserve"> in our study area), leading to substantial nitrate storage in the thick vadose zone (up to 320 kg N ha⁻¹ a⁻¹ surplus). This accumulated nitrogen acts as a continuous source reservoir. Regional studies estimate that the total nitrate-N storage in the NCP deep vadose zone reaches 18.54 million tons (Li et al., 2021).</w:t>
      </w:r>
    </w:p>
    <w:p w14:paraId="393EEA79">
      <w:pPr>
        <w:keepNext w:val="0"/>
        <w:keepLines w:val="0"/>
        <w:pageBreakBefore w:val="0"/>
        <w:widowControl w:val="0"/>
        <w:numPr>
          <w:ilvl w:val="0"/>
          <w:numId w:val="8"/>
        </w:numPr>
        <w:kinsoku/>
        <w:wordWrap/>
        <w:overflowPunct/>
        <w:topLinePunct w:val="0"/>
        <w:autoSpaceDE/>
        <w:autoSpaceDN/>
        <w:bidi w:val="0"/>
        <w:adjustRightInd/>
        <w:snapToGrid/>
        <w:spacing w:line="300" w:lineRule="auto"/>
        <w:ind w:leftChars="0"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Rainfall-driven leaching of legacy nitrogen: While matrix flow through a thick vadose zone is typically slow, the study region experiences a temperate continental monsoon climate where 60%</w:t>
      </w:r>
      <w:r>
        <w:rPr>
          <w:rFonts w:hint="eastAsia" w:ascii="Times New Roman Regular" w:hAnsi="Times New Roman Regular" w:cs="Times New Roman Regular"/>
          <w:color w:val="0000FF"/>
          <w:lang w:val="en-US" w:eastAsia="zh-CN"/>
        </w:rPr>
        <w:t>-</w:t>
      </w:r>
      <w:r>
        <w:rPr>
          <w:rFonts w:hint="default" w:ascii="Times New Roman Regular" w:hAnsi="Times New Roman Regular" w:cs="Times New Roman Regular"/>
          <w:color w:val="0000FF"/>
          <w:lang w:val="en-US" w:eastAsia="zh-CN"/>
        </w:rPr>
        <w:t>80% of annual precipitation concentrates in the summer. This concentrated rainfall provides a strong hydrological drive that mobilizes the substantial legacy nitrogen accumulated in the soil and vadose zone over decades of fertilization (Discussion 4.1). The intense precipitation during the wet season enhances the downward leaching of this stored nitrogen into the groundwater system. Consequently, the observed seasonal variability reflects the mobilization of this existing nitrogen pool by seasonal rainfall events, combined with precipitation dilution effects, rather than relying solely on slow diffusion or immediate surface inputs.</w:t>
      </w:r>
      <w:r>
        <w:rPr>
          <w:rFonts w:hint="eastAsia" w:ascii="Times New Roman Regular" w:hAnsi="Times New Roman Regular" w:cs="Times New Roman Regular"/>
          <w:color w:val="0000FF"/>
          <w:lang w:val="en-US" w:eastAsia="zh-CN"/>
        </w:rPr>
        <w:t xml:space="preserve"> During the wet season (June</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September), concentrated precipitation combined with reduced pumping creates a rapid rise in the water table. This fluctuation shortens the travel time for nitrate accumulated in the upper vadose zone to enter groundwater</w:t>
      </w:r>
      <w:r>
        <w:rPr>
          <w:rFonts w:hint="default" w:ascii="Times New Roman Regular" w:hAnsi="Times New Roman Regular" w:cs="Times New Roman Regular"/>
          <w:color w:val="0000FF"/>
          <w:lang w:val="en-US" w:eastAsia="zh-CN"/>
        </w:rPr>
        <w:t xml:space="preserve"> (Tan et al., 2025). </w:t>
      </w:r>
    </w:p>
    <w:p w14:paraId="7CA6B436">
      <w:pPr>
        <w:keepNext w:val="0"/>
        <w:keepLines w:val="0"/>
        <w:pageBreakBefore w:val="0"/>
        <w:widowControl w:val="0"/>
        <w:numPr>
          <w:ilvl w:val="0"/>
          <w:numId w:val="8"/>
        </w:numPr>
        <w:kinsoku/>
        <w:wordWrap/>
        <w:overflowPunct/>
        <w:topLinePunct w:val="0"/>
        <w:autoSpaceDE/>
        <w:autoSpaceDN/>
        <w:bidi w:val="0"/>
        <w:adjustRightInd/>
        <w:snapToGrid/>
        <w:spacing w:line="300" w:lineRule="auto"/>
        <w:ind w:leftChars="0"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Anthropogenic groundwater abstraction: The reviewer correctly hypothesized the impact of groundwater abstraction. In this agricultural region, groundwater is the primary source for irrigation. Intensive pumping, particularly during the dry season for wheat irrigation, induces groundwater level fluctuations and alters flow fields. This active exchange enhances the hydraulic connectivity between the vadose zone and the aquifer. Furthermore, the observed seasonal concentration patterns are driven by evaporative concentration in the dry season (leading to peak nitrate concentrations) versus precipitation dilution in the wet season (leading to minimum concentrations). This water balance effect modifies concentrations directly, independent of the travel time of new nitrate through the vadose zone.</w:t>
      </w:r>
    </w:p>
    <w:p w14:paraId="3ADEE214">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2FCD3768">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have added a paragraph in the Discussion (Section 4.1) to explicitly discuss how these factors interact to produce the observed seasonal responses despite the thick unsaturated zone.</w:t>
      </w:r>
    </w:p>
    <w:p w14:paraId="523DB06E">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555451CF">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References:</w:t>
      </w:r>
    </w:p>
    <w:p w14:paraId="6E89C59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Tan K, Wang S, Zheng W, et al., 2025. Geomorphologic and sedimentary features dominate the nitrogen accumulation and leaching in the deep vadose zone from a catchment viewpoint[J]. Journal of Hydrology, 652: 132682.</w:t>
      </w:r>
    </w:p>
    <w:p w14:paraId="0DF6240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Li X, Wang S, Chen X, et al, 2021. Spatial distribution and changes of nitrate in the vadose zone and underground water in northern China[J]. Chinese Journal of Eco-Agriculture, 29(1): 208-216.</w:t>
      </w:r>
    </w:p>
    <w:p w14:paraId="557C202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420" w:hanging="420" w:hangingChars="200"/>
        <w:jc w:val="both"/>
        <w:textAlignment w:val="auto"/>
        <w:rPr>
          <w:rFonts w:hint="default" w:ascii="Times New Roman Regular" w:hAnsi="Times New Roman Regular" w:cs="Times New Roman Regular"/>
          <w:color w:val="0000FF"/>
          <w:lang w:val="en-US" w:eastAsia="zh-CN"/>
        </w:rPr>
      </w:pPr>
    </w:p>
    <w:p w14:paraId="7ACF8AEA">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In the introduction you mention exceedance of the nitrate rate. Exceedance of what? The local nitrate limits? Line 48 and 55 seem to contain very similar information.</w:t>
      </w:r>
    </w:p>
    <w:p w14:paraId="5273EADB">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6D4F73C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Thank you for your valuable comments. We have carefully revised the Introduction to clarify the nitrate standards and remove the repetitive information.</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W</w:t>
      </w:r>
      <w:r>
        <w:rPr>
          <w:rFonts w:hint="eastAsia" w:ascii="Times New Roman Regular" w:hAnsi="Times New Roman Regular" w:cs="Times New Roman Regular"/>
          <w:color w:val="0000FF"/>
          <w:lang w:val="en-US" w:eastAsia="zh-CN"/>
        </w:rPr>
        <w:t>e have revised the sentence to explicitly reference the Chinese national standard and international guidelines</w:t>
      </w:r>
      <w:r>
        <w:rPr>
          <w:rFonts w:hint="default" w:ascii="Times New Roman Regular" w:hAnsi="Times New Roman Regular" w:cs="Times New Roman Regular"/>
          <w:color w:val="0000FF"/>
          <w:lang w:val="en-US" w:eastAsia="zh-CN"/>
        </w:rPr>
        <w:t>:</w:t>
      </w:r>
    </w:p>
    <w:p w14:paraId="5F51F623">
      <w:pPr>
        <w:keepNext w:val="0"/>
        <w:keepLines w:val="0"/>
        <w:pageBreakBefore w:val="0"/>
        <w:widowControl w:val="0"/>
        <w:numPr>
          <w:ilvl w:val="0"/>
          <w:numId w:val="9"/>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In China, groundwater nitrate pollution is a growing concern</w:t>
      </w:r>
      <w:r>
        <w:rPr>
          <w:rFonts w:hint="default" w:ascii="Times New Roman Regular" w:hAnsi="Times New Roman Regular" w:cs="Times New Roman Regular"/>
          <w:color w:val="0000FF"/>
          <w:lang w:val="en-US" w:eastAsia="zh-CN"/>
        </w:rPr>
        <w:t xml:space="preserve">, </w:t>
      </w:r>
      <w:r>
        <w:rPr>
          <w:rFonts w:hint="eastAsia" w:ascii="Times New Roman Regular" w:hAnsi="Times New Roman Regular" w:cs="Times New Roman Regular"/>
          <w:color w:val="0000FF"/>
          <w:lang w:val="en-US" w:eastAsia="zh-CN"/>
        </w:rPr>
        <w:t>national monitoring data from 2013 to 2017 revealed a nitrate exceedance rate exceeding 10% relative to the Class III limit (88 mg L</w:t>
      </w:r>
      <w:r>
        <w:rPr>
          <w:rFonts w:hint="default"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 xml:space="preserve"> as NO</w:t>
      </w:r>
      <w:r>
        <w:rPr>
          <w:rFonts w:hint="default" w:ascii="Times New Roman Regular" w:hAnsi="Times New Roman Regular" w:cs="Times New Roman Regular"/>
          <w:color w:val="0000FF"/>
          <w:vertAlign w:val="subscript"/>
          <w:lang w:val="en-US" w:eastAsia="zh-CN"/>
        </w:rPr>
        <w:t>3</w:t>
      </w:r>
      <w:r>
        <w:rPr>
          <w:rFonts w:hint="default"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of the Chinese Groundwater Quality Standard (GB/T 14848-2017), with Hebei Province reporting an alarming rate of 31.66% in 2017</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rPr>
        <w:t>Li et al., 2019</w:t>
      </w:r>
      <w:r>
        <w:rPr>
          <w:rFonts w:hint="default" w:ascii="Times New Roman Regular" w:hAnsi="Times New Roman Regular" w:cs="Times New Roman Regular"/>
          <w:color w:val="0000FF"/>
          <w:lang w:val="en-US" w:eastAsia="zh-CN"/>
        </w:rPr>
        <w:t>).</w:t>
      </w:r>
    </w:p>
    <w:p w14:paraId="60D6509A">
      <w:pPr>
        <w:keepNext w:val="0"/>
        <w:keepLines w:val="0"/>
        <w:pageBreakBefore w:val="0"/>
        <w:widowControl w:val="0"/>
        <w:numPr>
          <w:ilvl w:val="0"/>
          <w:numId w:val="9"/>
        </w:numPr>
        <w:kinsoku/>
        <w:wordWrap/>
        <w:overflowPunct/>
        <w:topLinePunct w:val="0"/>
        <w:autoSpaceDE/>
        <w:autoSpaceDN/>
        <w:bidi w:val="0"/>
        <w:adjustRightInd/>
        <w:snapToGrid/>
        <w:spacing w:line="300" w:lineRule="auto"/>
        <w:ind w:left="420" w:leftChars="0" w:hanging="420" w:firstLineChars="0"/>
        <w:jc w:val="both"/>
        <w:textAlignment w:val="auto"/>
        <w:rPr>
          <w:rFonts w:hint="default" w:ascii="Times New Roman Regular" w:hAnsi="Times New Roman Regular" w:cs="Times New Roman Regular"/>
          <w:color w:val="0000FF"/>
          <w:lang w:val="en-US" w:eastAsia="zh-CN"/>
        </w:rPr>
      </w:pPr>
      <w:r>
        <w:rPr>
          <w:rFonts w:hint="eastAsia" w:ascii="Times New Roman Regular" w:hAnsi="Times New Roman Regular" w:cs="Times New Roman Regular"/>
          <w:color w:val="0000FF"/>
          <w:lang w:val="en-US" w:eastAsia="zh-CN"/>
        </w:rPr>
        <w:t>For instance, in the North China Plain, shallow groundwater nitrate exceedance rates range from 9.5% to 34.1% relative to the WHO drinking water guideline of 50 mg L</w:t>
      </w:r>
      <w:r>
        <w:rPr>
          <w:rFonts w:hint="eastAsia" w:ascii="Times New Roman Regular" w:hAnsi="Times New Roman Regular" w:cs="Times New Roman Regular"/>
          <w:color w:val="0000FF"/>
          <w:vertAlign w:val="superscript"/>
          <w:lang w:val="en-US" w:eastAsia="zh-CN"/>
        </w:rPr>
        <w:t>-1</w:t>
      </w:r>
      <w:r>
        <w:rPr>
          <w:rFonts w:hint="eastAsia" w:ascii="Times New Roman Regular" w:hAnsi="Times New Roman Regular" w:cs="Times New Roman Regular"/>
          <w:color w:val="0000FF"/>
          <w:lang w:val="en-US" w:eastAsia="zh-CN"/>
        </w:rPr>
        <w:t xml:space="preserve"> NO</w:t>
      </w:r>
      <w:r>
        <w:rPr>
          <w:rFonts w:hint="eastAsia" w:ascii="Times New Roman Regular" w:hAnsi="Times New Roman Regular" w:cs="Times New Roman Regular"/>
          <w:color w:val="0000FF"/>
          <w:vertAlign w:val="subscript"/>
          <w:lang w:val="en-US" w:eastAsia="zh-CN"/>
        </w:rPr>
        <w:t>3</w:t>
      </w:r>
      <w:r>
        <w:rPr>
          <w:rFonts w:hint="eastAsia" w:ascii="Times New Roman Regular" w:hAnsi="Times New Roman Regular" w:cs="Times New Roman Regular"/>
          <w:color w:val="0000FF"/>
          <w:vertAlign w:val="superscript"/>
          <w:lang w:val="en-US" w:eastAsia="zh-CN"/>
        </w:rPr>
        <w:t>-</w:t>
      </w:r>
      <w:r>
        <w:rPr>
          <w:rFonts w:hint="eastAsia" w:ascii="Times New Roman Regular" w:hAnsi="Times New Roman Regular" w:cs="Times New Roman Regular"/>
          <w:color w:val="0000FF"/>
          <w:lang w:val="en-US" w:eastAsia="zh-CN"/>
        </w:rPr>
        <w:t>, and a rising trend persists at the regional scale, particularly in agricultural areas</w:t>
      </w:r>
      <w:r>
        <w:rPr>
          <w:rFonts w:hint="default"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rPr>
        <w:t>Wang</w:t>
      </w:r>
      <w:r>
        <w:rPr>
          <w:rFonts w:hint="default" w:ascii="Times New Roman Regular" w:hAnsi="Times New Roman Regular" w:cs="Times New Roman Regular"/>
          <w:color w:val="0000FF"/>
          <w:lang w:val="en-US"/>
        </w:rPr>
        <w:t xml:space="preserve"> et al., 2018</w:t>
      </w:r>
      <w:r>
        <w:rPr>
          <w:rFonts w:hint="default" w:ascii="Times New Roman Regular" w:hAnsi="Times New Roman Regular" w:cs="Times New Roman Regular"/>
          <w:color w:val="0000FF"/>
          <w:lang w:val="en-US" w:eastAsia="zh-CN"/>
        </w:rPr>
        <w:t>)</w:t>
      </w:r>
      <w:r>
        <w:rPr>
          <w:rFonts w:hint="eastAsia" w:ascii="Times New Roman Regular" w:hAnsi="Times New Roman Regular" w:cs="Times New Roman Regular"/>
          <w:color w:val="0000FF"/>
          <w:lang w:val="en-US" w:eastAsia="zh-CN"/>
        </w:rPr>
        <w:t>.</w:t>
      </w:r>
    </w:p>
    <w:p w14:paraId="650D74F2">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4A9F9AF4">
      <w:pPr>
        <w:keepNext w:val="0"/>
        <w:keepLines w:val="0"/>
        <w:pageBreakBefore w:val="0"/>
        <w:widowControl w:val="0"/>
        <w:numPr>
          <w:ilvl w:val="0"/>
          <w:numId w:val="1"/>
        </w:numPr>
        <w:kinsoku/>
        <w:wordWrap/>
        <w:overflowPunct/>
        <w:topLinePunct w:val="0"/>
        <w:autoSpaceDE/>
        <w:autoSpaceDN/>
        <w:bidi w:val="0"/>
        <w:adjustRightInd/>
        <w:snapToGrid/>
        <w:spacing w:line="300" w:lineRule="auto"/>
        <w:ind w:left="0" w:leftChars="0" w:firstLine="0" w:firstLine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The information on the maps of fig 7 is interesting, however the maps are not very readable. Please use the same range for the 3 maps. How can the spatial differences in the nitrate concentration maps be explained?</w:t>
      </w:r>
    </w:p>
    <w:p w14:paraId="1B985F3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leftChars="0"/>
        <w:jc w:val="both"/>
        <w:textAlignment w:val="auto"/>
        <w:rPr>
          <w:rFonts w:hint="default" w:ascii="Times New Roman Regular" w:hAnsi="Times New Roman Regular" w:cs="Times New Roman Regular"/>
          <w:lang w:val="en-US" w:eastAsia="zh-CN"/>
        </w:rPr>
      </w:pPr>
      <w:r>
        <w:rPr>
          <w:rFonts w:hint="default" w:ascii="Times New Roman Regular" w:hAnsi="Times New Roman Regular" w:cs="Times New Roman Regular"/>
          <w:lang w:val="en-US" w:eastAsia="zh-CN"/>
        </w:rPr>
        <w:t>On page 23 line 552-553 you mention the groundwater depth becomes shallower in the dry season, this is counter intuitive. How can you explain?</w:t>
      </w:r>
    </w:p>
    <w:p w14:paraId="7EE67769">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lang w:val="en-US" w:eastAsia="zh-CN"/>
        </w:rPr>
      </w:pPr>
    </w:p>
    <w:p w14:paraId="22197C26">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 thank the reviewer for this valuable suggestion. We have revised Figure 8 to use consistent color scale ranges for both nitrate concentration maps and groundwater depth maps across all three hydrological seasons. This enhancement significantly improves the visual comparability of spatial patterns and seasonal shifts.</w:t>
      </w:r>
    </w:p>
    <w:p w14:paraId="6AD5C244">
      <w:pPr>
        <w:spacing w:line="300" w:lineRule="auto"/>
        <w:rPr>
          <w:rFonts w:hint="default" w:ascii="Times New Roman Regular" w:hAnsi="Times New Roman Regular" w:cs="Times New Roman Regular"/>
          <w:lang w:val="en-US"/>
        </w:rPr>
      </w:pPr>
      <w:r>
        <w:drawing>
          <wp:inline distT="0" distB="0" distL="114300" distR="114300">
            <wp:extent cx="5255895" cy="2745740"/>
            <wp:effectExtent l="0" t="0" r="1905" b="2286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6"/>
                    <a:stretch>
                      <a:fillRect/>
                    </a:stretch>
                  </pic:blipFill>
                  <pic:spPr>
                    <a:xfrm>
                      <a:off x="0" y="0"/>
                      <a:ext cx="5255895" cy="2745740"/>
                    </a:xfrm>
                    <a:prstGeom prst="rect">
                      <a:avLst/>
                    </a:prstGeom>
                    <a:noFill/>
                    <a:ln>
                      <a:noFill/>
                    </a:ln>
                  </pic:spPr>
                </pic:pic>
              </a:graphicData>
            </a:graphic>
          </wp:inline>
        </w:drawing>
      </w:r>
    </w:p>
    <w:p w14:paraId="36D68467">
      <w:pPr>
        <w:spacing w:line="300" w:lineRule="auto"/>
        <w:rPr>
          <w:rFonts w:hint="eastAsia" w:ascii="Times New Roman Regular" w:hAnsi="Times New Roman Regular" w:cs="Times New Roman Regular" w:eastAsiaTheme="minorEastAsia"/>
          <w:lang w:val="en-US" w:eastAsia="zh-CN"/>
        </w:rPr>
      </w:pPr>
      <w:r>
        <w:rPr>
          <w:rFonts w:ascii="Times New Roman Bold" w:hAnsi="Times New Roman Bold" w:cs="Times New Roman Bold"/>
          <w:b/>
          <w:bCs/>
        </w:rPr>
        <w:t xml:space="preserve">Fig. </w:t>
      </w:r>
      <w:r>
        <w:rPr>
          <w:rFonts w:hint="default" w:ascii="Times New Roman Bold" w:hAnsi="Times New Roman Bold" w:cs="Times New Roman Bold"/>
          <w:b/>
          <w:bCs/>
          <w:lang w:val="en-US"/>
        </w:rPr>
        <w:t>8</w:t>
      </w:r>
      <w:r>
        <w:rPr>
          <w:rFonts w:ascii="Times New Roman Regular" w:hAnsi="Times New Roman Regular" w:cs="Times New Roman Regular"/>
        </w:rPr>
        <w:t>. Spatial distribution of nitrate concentration and groundwater depth in different seasons.</w:t>
      </w:r>
      <w:r>
        <w:rPr>
          <w:rFonts w:hint="eastAsia" w:ascii="Times New Roman Regular" w:hAnsi="Times New Roman Regular" w:cs="Times New Roman Regular"/>
          <w:lang w:val="en-US" w:eastAsia="zh-CN"/>
        </w:rPr>
        <w:t xml:space="preserve"> From top to bottom: normal water period, dry season, and wet season.</w:t>
      </w:r>
    </w:p>
    <w:p w14:paraId="5FAA33AB">
      <w:pPr>
        <w:keepNext w:val="0"/>
        <w:keepLines w:val="0"/>
        <w:pageBreakBefore w:val="0"/>
        <w:widowControl w:val="0"/>
        <w:numPr>
          <w:ilvl w:val="0"/>
          <w:numId w:val="0"/>
        </w:numPr>
        <w:kinsoku/>
        <w:wordWrap/>
        <w:overflowPunct/>
        <w:topLinePunct w:val="0"/>
        <w:autoSpaceDE/>
        <w:autoSpaceDN/>
        <w:bidi w:val="0"/>
        <w:adjustRightInd/>
        <w:snapToGrid/>
        <w:spacing w:line="300" w:lineRule="auto"/>
        <w:jc w:val="both"/>
        <w:textAlignment w:val="auto"/>
        <w:rPr>
          <w:rFonts w:hint="default" w:ascii="Times New Roman Regular" w:hAnsi="Times New Roman Regular" w:cs="Times New Roman Regular"/>
          <w:color w:val="0000FF"/>
          <w:lang w:val="en-US" w:eastAsia="zh-CN"/>
        </w:rPr>
      </w:pPr>
    </w:p>
    <w:p w14:paraId="44302002">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have added detailed explanations in Section 3.1.4 to clarify the hydrological mechanisms controlling the observed spatial heterogeneity. The seasonal spatial variations in nitrate concentrations are driven by the interplay between groundwater flow dynamics and seasonal hydrological processes:</w:t>
      </w:r>
    </w:p>
    <w:p w14:paraId="1E3839D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 xml:space="preserve">Normal </w:t>
      </w:r>
      <w:r>
        <w:rPr>
          <w:rFonts w:hint="eastAsia" w:ascii="Times New Roman Regular" w:hAnsi="Times New Roman Regular" w:cs="Times New Roman Regular"/>
          <w:color w:val="0000FF"/>
          <w:lang w:val="en-US" w:eastAsia="zh-CN"/>
        </w:rPr>
        <w:t>s</w:t>
      </w:r>
      <w:r>
        <w:rPr>
          <w:rFonts w:hint="default" w:ascii="Times New Roman Regular" w:hAnsi="Times New Roman Regular" w:cs="Times New Roman Regular"/>
          <w:color w:val="0000FF"/>
          <w:lang w:val="en-US" w:eastAsia="zh-CN"/>
        </w:rPr>
        <w:t>eason (October 2022):</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High-concentration zones are located in the southeastern part of the farm. During this period, groundwater depth distribution is relatively uniform, with the eastern region acting as a recharge zone. Groundwater flows toward the deeper western region, resulting in a dispersed nitrate distribution with localized hotspots in the southeast.</w:t>
      </w:r>
    </w:p>
    <w:p w14:paraId="33FBA82A">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Dry season (May 2023): High-concentration zones shift to the central area of the farm, where nitrate reaches its annual peak (mean: 42.93 mg L</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Crucially, during this period, strong evaporation and agricultural extraction cause the groundwater depth to increase (become deeper) and the flow direction converges from the eastern and western sides toward the central discharge zone. The enhanced evaporative concentration effect leads to the accumulation of flow-transported pollutants in this central discharge area.</w:t>
      </w:r>
    </w:p>
    <w:p w14:paraId="5812BCB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Wet season (August 2023): High-concentration areas shift to the northwestern region, overlapping with areas of deeper groundwater depth. However, nitrate concentrations drop to their annual minimum (mean: 27.14 mg L</w:t>
      </w:r>
      <w:r>
        <w:rPr>
          <w:rFonts w:hint="default" w:ascii="Times New Roman Regular" w:hAnsi="Times New Roman Regular" w:cs="Times New Roman Regular"/>
          <w:color w:val="0000FF"/>
          <w:vertAlign w:val="superscript"/>
          <w:lang w:val="en-US" w:eastAsia="zh-CN"/>
        </w:rPr>
        <w:t>-1</w:t>
      </w:r>
      <w:r>
        <w:rPr>
          <w:rFonts w:hint="default" w:ascii="Times New Roman Regular" w:hAnsi="Times New Roman Regular" w:cs="Times New Roman Regular"/>
          <w:color w:val="0000FF"/>
          <w:lang w:val="en-US" w:eastAsia="zh-CN"/>
        </w:rPr>
        <w:t>) due to dilution effects from precipitation infiltration. The spatial shift reflects the seasonal reversal of groundwater flow (from southeast to northwest) and the displacement of residual pollutants during active recharge periods, though dilution dominates the concentration reduction.</w:t>
      </w:r>
    </w:p>
    <w:p w14:paraId="6B6372D3">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The seasonal migration of high-concentration zones (Southeast→Center→Northwest) closely tracks the shifting groundwater flow directions and is modulated by evaporative concentration (dry season) versus precipitation dilution (wet season). The deeper groundwater depths during the dry season facilitate pollutant accumulation in discharge zones, while rainy season recharge elevates water tables (reducing depth) and dilutes nitrate concentrations.</w:t>
      </w:r>
    </w:p>
    <w:p w14:paraId="55E803CD">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46EFC2C9">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We sincerely</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apologize for the confusion in the previous version where we mistakenly treated “groundwater</w:t>
      </w:r>
      <w:r>
        <w:rPr>
          <w:rFonts w:hint="eastAsia" w:ascii="Times New Roman Regular" w:hAnsi="Times New Roman Regular" w:cs="Times New Roman Regular"/>
          <w:color w:val="0000FF"/>
          <w:lang w:val="en-US" w:eastAsia="zh-CN"/>
        </w:rPr>
        <w:t xml:space="preserve"> </w:t>
      </w:r>
      <w:r>
        <w:rPr>
          <w:rFonts w:hint="default" w:ascii="Times New Roman Regular" w:hAnsi="Times New Roman Regular" w:cs="Times New Roman Regular"/>
          <w:color w:val="0000FF"/>
          <w:lang w:val="en-US" w:eastAsia="zh-CN"/>
        </w:rPr>
        <w:t xml:space="preserve">depth” as “water </w:t>
      </w:r>
      <w:r>
        <w:rPr>
          <w:rFonts w:hint="eastAsia" w:ascii="Times New Roman Regular" w:hAnsi="Times New Roman Regular" w:cs="Times New Roman Regular"/>
          <w:color w:val="0000FF"/>
          <w:lang w:val="en-US" w:eastAsia="zh-CN"/>
        </w:rPr>
        <w:t>table</w:t>
      </w:r>
      <w:r>
        <w:rPr>
          <w:rFonts w:hint="default" w:ascii="Times New Roman Regular" w:hAnsi="Times New Roman Regular" w:cs="Times New Roman Regular"/>
          <w:color w:val="0000FF"/>
          <w:lang w:val="en-US" w:eastAsia="zh-CN"/>
        </w:rPr>
        <w:t>.” We have corrected the terminology in the revised manuscript to ensure that “groundwater depth” consistently refers to the vertical distance from the ground surface to the water table.</w:t>
      </w:r>
    </w:p>
    <w:p w14:paraId="25D406E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r>
        <w:rPr>
          <w:rFonts w:hint="default" w:ascii="Times New Roman Regular" w:hAnsi="Times New Roman Regular" w:cs="Times New Roman Regular"/>
          <w:color w:val="0000FF"/>
          <w:lang w:val="en-US" w:eastAsia="zh-CN"/>
        </w:rPr>
        <w:t>To fully rectify this error, we have systematically revised the relevant terminology and descriptive content throughout the revised manuscript, to ensure that the term “groundwater depth” is consistently and explicitly defined as the vertical distance from the land surface to the phreatic groundwater table. Meanwhile, we have clarified the hydrological driving mechanisms of seasonal variations in groundwater depth: the combined effects of intense evaporation and extensive groundwater extraction for agricultural irrigation in the dry season lead to an increase in groundwater depth, while intensive precipitation infiltration in the wet season causes a decrease in groundwater depth. All relevant descriptions in the manuscript have been cross-checked and revised to ensure full consistency with this definition and hydrological mechanism.</w:t>
      </w:r>
    </w:p>
    <w:p w14:paraId="67AC8B35">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p w14:paraId="395A29A1">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textAlignment w:val="auto"/>
        <w:rPr>
          <w:rFonts w:hint="default" w:ascii="Times New Roman Regular" w:hAnsi="Times New Roman Regular" w:cs="Times New Roman Regular" w:eastAsiaTheme="minorEastAsia"/>
          <w:color w:val="0000FF"/>
          <w:lang w:val="en-US" w:eastAsia="zh-CN"/>
        </w:rPr>
      </w:pPr>
      <w:r>
        <w:rPr>
          <w:rFonts w:hint="default" w:ascii="Times New Roman Regular" w:hAnsi="Times New Roman Regular" w:cs="Times New Roman Regular" w:eastAsiaTheme="minorEastAsia"/>
          <w:color w:val="0000FF"/>
          <w:lang w:val="en-US" w:eastAsia="zh-CN"/>
        </w:rPr>
        <w:t>We believe that these revisions have addressed the issues raised and significantly improved the manuscript. Thank you again for your time and consideration.</w:t>
      </w:r>
    </w:p>
    <w:p w14:paraId="6D5A77FE">
      <w:pPr>
        <w:keepNext w:val="0"/>
        <w:keepLines w:val="0"/>
        <w:pageBreakBefore w:val="0"/>
        <w:widowControl w:val="0"/>
        <w:numPr>
          <w:ilvl w:val="0"/>
          <w:numId w:val="0"/>
        </w:numPr>
        <w:kinsoku/>
        <w:wordWrap/>
        <w:overflowPunct/>
        <w:topLinePunct w:val="0"/>
        <w:autoSpaceDE/>
        <w:autoSpaceDN/>
        <w:bidi w:val="0"/>
        <w:adjustRightInd/>
        <w:snapToGrid/>
        <w:spacing w:line="300" w:lineRule="auto"/>
        <w:ind w:firstLine="420" w:firstLineChars="0"/>
        <w:jc w:val="both"/>
        <w:textAlignment w:val="auto"/>
        <w:rPr>
          <w:rFonts w:hint="default" w:ascii="Times New Roman Regular" w:hAnsi="Times New Roman Regular" w:cs="Times New Roman Regular"/>
          <w:color w:val="0000FF"/>
          <w:lang w:val="en-US" w:eastAsia="zh-CN"/>
        </w:rPr>
      </w:pP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704020202020204"/>
    <w:charset w:val="01"/>
    <w:family w:val="swiss"/>
    <w:pitch w:val="default"/>
    <w:sig w:usb0="E0002AFF" w:usb1="C0007843" w:usb2="00000009" w:usb3="00000000" w:csb0="400001FF" w:csb1="FFFF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20404"/>
    <w:charset w:val="01"/>
    <w:family w:val="modern"/>
    <w:pitch w:val="default"/>
    <w:sig w:usb0="E0002AFF" w:usb1="C0007843" w:usb2="00000009" w:usb3="00000000" w:csb0="400001FF" w:csb1="FFFF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Times New Roman Regular">
    <w:panose1 w:val="02020603050405020304"/>
    <w:charset w:val="00"/>
    <w:family w:val="auto"/>
    <w:pitch w:val="default"/>
    <w:sig w:usb0="E0002AEF" w:usb1="C0007841" w:usb2="00000009" w:usb3="00000000" w:csb0="400001FF" w:csb1="FFFF0000"/>
  </w:font>
  <w:font w:name="Times New Roman Bold">
    <w:panose1 w:val="02020603050405020304"/>
    <w:charset w:val="00"/>
    <w:family w:val="auto"/>
    <w:pitch w:val="default"/>
    <w:sig w:usb0="E0002AEF" w:usb1="C0007841" w:usb2="00000009" w:usb3="00000000" w:csb0="400001FF" w:csb1="FFFF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PingFang SC">
    <w:altName w:val="苹方-简"/>
    <w:panose1 w:val="00000000000000000000"/>
    <w:charset w:val="00"/>
    <w:family w:val="auto"/>
    <w:pitch w:val="default"/>
    <w:sig w:usb0="00000000" w:usb1="00000000" w:usb2="00000000" w:usb3="00000000" w:csb0="00000000" w:csb1="00000000"/>
  </w:font>
  <w:font w:name="Tahoma">
    <w:panose1 w:val="020B0804030504040204"/>
    <w:charset w:val="00"/>
    <w:family w:val="auto"/>
    <w:pitch w:val="default"/>
    <w:sig w:usb0="E1002AFF" w:usb1="C000605B" w:usb2="00000029" w:usb3="00000000" w:csb0="200101FF" w:csb1="20280000"/>
  </w:font>
  <w:font w:name="苹方-简">
    <w:altName w:val="Times New Roman"/>
    <w:panose1 w:val="020B0600000000000000"/>
    <w:charset w:val="00"/>
    <w:family w:val="auto"/>
    <w:pitch w:val="default"/>
    <w:sig w:usb0="A00002FF" w:usb1="7ACFFDFB" w:usb2="00000017" w:usb3="00000000" w:csb0="00040001" w:csb1="00000000"/>
  </w:font>
  <w:font w:name="Apple Symbols">
    <w:panose1 w:val="02000000000000000000"/>
    <w:charset w:val="00"/>
    <w:family w:val="auto"/>
    <w:pitch w:val="default"/>
    <w:sig w:usb0="800000A3" w:usb1="08007BEB" w:usb2="01840034" w:usb3="0000A268" w:csb0="200001FB" w:csb1="DDFF0000"/>
  </w:font>
  <w:font w:name="DejaVu Math TeX Gyre">
    <w:panose1 w:val="02000503000000000000"/>
    <w:charset w:val="00"/>
    <w:family w:val="auto"/>
    <w:pitch w:val="default"/>
    <w:sig w:usb0="A10000EF" w:usb1="4201F9EE" w:usb2="02000000" w:usb3="00000000" w:csb0="60000193" w:csb1="0DD40000"/>
  </w:font>
  <w:font w:name="MS Mincho">
    <w:altName w:val="Hiragino Sans"/>
    <w:panose1 w:val="02020609040205080304"/>
    <w:charset w:val="80"/>
    <w:family w:val="modern"/>
    <w:pitch w:val="default"/>
    <w:sig w:usb0="00000000" w:usb1="00000000" w:usb2="08000012" w:usb3="00000000" w:csb0="0002009F" w:csb1="00000000"/>
  </w:font>
  <w:font w:name="宋体-简">
    <w:panose1 w:val="02010800040101010101"/>
    <w:charset w:val="86"/>
    <w:family w:val="auto"/>
    <w:pitch w:val="default"/>
    <w:sig w:usb0="00000001" w:usb1="080F0000" w:usb2="00000000" w:usb3="00000000" w:csb0="00040000" w:csb1="00000000"/>
  </w:font>
  <w:font w:name="Hiragino Sans">
    <w:panose1 w:val="020B0700000000000000"/>
    <w:charset w:val="80"/>
    <w:family w:val="auto"/>
    <w:pitch w:val="default"/>
    <w:sig w:usb0="800002CF" w:usb1="6AC7FCFC" w:usb2="00000012" w:usb3="00000000" w:csb0="0002000D" w:csb1="00000000"/>
  </w:font>
  <w:font w:name="Times New Roman Italic">
    <w:panose1 w:val="02020603050405020304"/>
    <w:charset w:val="00"/>
    <w:family w:val="auto"/>
    <w:pitch w:val="default"/>
    <w:sig w:usb0="E0002AEF" w:usb1="C0007841" w:usb2="00000009" w:usb3="00000000" w:csb0="400001FF" w:csb1="FFFF0000"/>
  </w:font>
  <w:font w:name="-webkit-standard">
    <w:altName w:val="苹方-简"/>
    <w:panose1 w:val="00000000000000000000"/>
    <w:charset w:val="00"/>
    <w:family w:val="auto"/>
    <w:pitch w:val="default"/>
    <w:sig w:usb0="00000000" w:usb1="00000000" w:usb2="00000000" w:usb3="00000000" w:csb0="00000000" w:csb1="00000000"/>
  </w:font>
  <w:font w:name="KaTeX_Math">
    <w:altName w:val="苹方-简"/>
    <w:panose1 w:val="00000000000000000000"/>
    <w:charset w:val="00"/>
    <w:family w:val="auto"/>
    <w:pitch w:val="default"/>
    <w:sig w:usb0="00000000" w:usb1="00000000" w:usb2="00000000" w:usb3="00000000" w:csb0="00000000" w:csb1="00000000"/>
  </w:font>
  <w:font w:name="Apple Color Emoji">
    <w:panose1 w:val="00000000000000000000"/>
    <w:charset w:val="00"/>
    <w:family w:val="auto"/>
    <w:pitch w:val="default"/>
    <w:sig w:usb0="00000003" w:usb1="18000000" w:usb2="14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CBFDBF">
    <w:pPr>
      <w:pStyle w:val="2"/>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141634E">
                          <w:pPr>
                            <w:pStyle w:val="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2141634E">
                    <w:pPr>
                      <w:pStyle w:val="2"/>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F7E7076"/>
    <w:multiLevelType w:val="singleLevel"/>
    <w:tmpl w:val="8F7E7076"/>
    <w:lvl w:ilvl="0" w:tentative="0">
      <w:start w:val="1"/>
      <w:numFmt w:val="decimal"/>
      <w:suff w:val="space"/>
      <w:lvlText w:val="%1."/>
      <w:lvlJc w:val="left"/>
    </w:lvl>
  </w:abstractNum>
  <w:abstractNum w:abstractNumId="1">
    <w:nsid w:val="9EDE6C4C"/>
    <w:multiLevelType w:val="singleLevel"/>
    <w:tmpl w:val="9EDE6C4C"/>
    <w:lvl w:ilvl="0" w:tentative="0">
      <w:start w:val="1"/>
      <w:numFmt w:val="bullet"/>
      <w:lvlText w:val=""/>
      <w:lvlJc w:val="left"/>
      <w:pPr>
        <w:ind w:left="420" w:hanging="420"/>
      </w:pPr>
      <w:rPr>
        <w:rFonts w:hint="default" w:ascii="Wingdings" w:hAnsi="Wingdings"/>
      </w:rPr>
    </w:lvl>
  </w:abstractNum>
  <w:abstractNum w:abstractNumId="2">
    <w:nsid w:val="B6F7FE34"/>
    <w:multiLevelType w:val="singleLevel"/>
    <w:tmpl w:val="B6F7FE34"/>
    <w:lvl w:ilvl="0" w:tentative="0">
      <w:start w:val="1"/>
      <w:numFmt w:val="decimal"/>
      <w:suff w:val="space"/>
      <w:lvlText w:val="%1."/>
      <w:lvlJc w:val="left"/>
    </w:lvl>
  </w:abstractNum>
  <w:abstractNum w:abstractNumId="3">
    <w:nsid w:val="CFFDAF04"/>
    <w:multiLevelType w:val="singleLevel"/>
    <w:tmpl w:val="CFFDAF04"/>
    <w:lvl w:ilvl="0" w:tentative="0">
      <w:start w:val="1"/>
      <w:numFmt w:val="decimal"/>
      <w:suff w:val="space"/>
      <w:lvlText w:val="%1."/>
      <w:lvlJc w:val="left"/>
    </w:lvl>
  </w:abstractNum>
  <w:abstractNum w:abstractNumId="4">
    <w:nsid w:val="DCDF7727"/>
    <w:multiLevelType w:val="singleLevel"/>
    <w:tmpl w:val="DCDF7727"/>
    <w:lvl w:ilvl="0" w:tentative="0">
      <w:start w:val="1"/>
      <w:numFmt w:val="decimal"/>
      <w:suff w:val="space"/>
      <w:lvlText w:val="%1."/>
      <w:lvlJc w:val="left"/>
    </w:lvl>
  </w:abstractNum>
  <w:abstractNum w:abstractNumId="5">
    <w:nsid w:val="FDEC3631"/>
    <w:multiLevelType w:val="singleLevel"/>
    <w:tmpl w:val="FDEC3631"/>
    <w:lvl w:ilvl="0" w:tentative="0">
      <w:start w:val="1"/>
      <w:numFmt w:val="bullet"/>
      <w:lvlText w:val=""/>
      <w:lvlJc w:val="left"/>
      <w:pPr>
        <w:ind w:left="420" w:hanging="420"/>
      </w:pPr>
      <w:rPr>
        <w:rFonts w:hint="default" w:ascii="Wingdings" w:hAnsi="Wingdings"/>
      </w:rPr>
    </w:lvl>
  </w:abstractNum>
  <w:abstractNum w:abstractNumId="6">
    <w:nsid w:val="FFCE8C0B"/>
    <w:multiLevelType w:val="singleLevel"/>
    <w:tmpl w:val="FFCE8C0B"/>
    <w:lvl w:ilvl="0" w:tentative="0">
      <w:start w:val="1"/>
      <w:numFmt w:val="bullet"/>
      <w:lvlText w:val=""/>
      <w:lvlJc w:val="left"/>
      <w:pPr>
        <w:ind w:left="420" w:hanging="420"/>
      </w:pPr>
      <w:rPr>
        <w:rFonts w:hint="default" w:ascii="Wingdings" w:hAnsi="Wingdings"/>
      </w:rPr>
    </w:lvl>
  </w:abstractNum>
  <w:abstractNum w:abstractNumId="7">
    <w:nsid w:val="777FA8D2"/>
    <w:multiLevelType w:val="singleLevel"/>
    <w:tmpl w:val="777FA8D2"/>
    <w:lvl w:ilvl="0" w:tentative="0">
      <w:start w:val="1"/>
      <w:numFmt w:val="bullet"/>
      <w:lvlText w:val=""/>
      <w:lvlJc w:val="left"/>
      <w:pPr>
        <w:ind w:left="420" w:hanging="420"/>
      </w:pPr>
      <w:rPr>
        <w:rFonts w:hint="default" w:ascii="Wingdings" w:hAnsi="Wingdings"/>
      </w:rPr>
    </w:lvl>
  </w:abstractNum>
  <w:abstractNum w:abstractNumId="8">
    <w:nsid w:val="7D7C7F60"/>
    <w:multiLevelType w:val="singleLevel"/>
    <w:tmpl w:val="7D7C7F60"/>
    <w:lvl w:ilvl="0" w:tentative="0">
      <w:start w:val="1"/>
      <w:numFmt w:val="bullet"/>
      <w:lvlText w:val=""/>
      <w:lvlJc w:val="left"/>
      <w:pPr>
        <w:ind w:left="420" w:hanging="420"/>
      </w:pPr>
      <w:rPr>
        <w:rFonts w:hint="default" w:ascii="Wingdings" w:hAnsi="Wingdings"/>
      </w:rPr>
    </w:lvl>
  </w:abstractNum>
  <w:num w:numId="1">
    <w:abstractNumId w:val="0"/>
  </w:num>
  <w:num w:numId="2">
    <w:abstractNumId w:val="1"/>
  </w:num>
  <w:num w:numId="3">
    <w:abstractNumId w:val="5"/>
  </w:num>
  <w:num w:numId="4">
    <w:abstractNumId w:val="7"/>
  </w:num>
  <w:num w:numId="5">
    <w:abstractNumId w:val="4"/>
  </w:num>
  <w:num w:numId="6">
    <w:abstractNumId w:val="3"/>
  </w:num>
  <w:num w:numId="7">
    <w:abstractNumId w:val="8"/>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9"/>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A96DCF"/>
    <w:rsid w:val="0FFD92C2"/>
    <w:rsid w:val="17DDEE55"/>
    <w:rsid w:val="2B5A5B0E"/>
    <w:rsid w:val="2FFFAFCA"/>
    <w:rsid w:val="31FE3CE2"/>
    <w:rsid w:val="32E788E4"/>
    <w:rsid w:val="336CABC9"/>
    <w:rsid w:val="33FD5EB2"/>
    <w:rsid w:val="35FB064E"/>
    <w:rsid w:val="36E98B29"/>
    <w:rsid w:val="36F9E466"/>
    <w:rsid w:val="372CED40"/>
    <w:rsid w:val="37FF454A"/>
    <w:rsid w:val="3D3D600E"/>
    <w:rsid w:val="3EA96DCF"/>
    <w:rsid w:val="3EBDD49F"/>
    <w:rsid w:val="4CDE99E4"/>
    <w:rsid w:val="4F479EAB"/>
    <w:rsid w:val="4FFBB6B4"/>
    <w:rsid w:val="51FB3C1F"/>
    <w:rsid w:val="57A50F44"/>
    <w:rsid w:val="57DDE803"/>
    <w:rsid w:val="57E72947"/>
    <w:rsid w:val="57F7EEA6"/>
    <w:rsid w:val="5BFEDB48"/>
    <w:rsid w:val="5DF7BCEF"/>
    <w:rsid w:val="5EF323FA"/>
    <w:rsid w:val="5FBBA776"/>
    <w:rsid w:val="5FEEC0A8"/>
    <w:rsid w:val="5FEF4306"/>
    <w:rsid w:val="637B9A49"/>
    <w:rsid w:val="6B7E2579"/>
    <w:rsid w:val="6DFEF9D9"/>
    <w:rsid w:val="6EEC90F6"/>
    <w:rsid w:val="6EF7D797"/>
    <w:rsid w:val="6FEF3EB1"/>
    <w:rsid w:val="6FF9B7CA"/>
    <w:rsid w:val="6FFF8795"/>
    <w:rsid w:val="75AF0E37"/>
    <w:rsid w:val="7775D672"/>
    <w:rsid w:val="77AEDEC7"/>
    <w:rsid w:val="797E0AE5"/>
    <w:rsid w:val="79BC1273"/>
    <w:rsid w:val="7BFB1229"/>
    <w:rsid w:val="7CDF0BE1"/>
    <w:rsid w:val="7DB564C3"/>
    <w:rsid w:val="7DDF57FC"/>
    <w:rsid w:val="7E7ED98E"/>
    <w:rsid w:val="7EFF6FB7"/>
    <w:rsid w:val="7F3F2C28"/>
    <w:rsid w:val="7FDF1CBA"/>
    <w:rsid w:val="7FF9EE42"/>
    <w:rsid w:val="7FFF8E3C"/>
    <w:rsid w:val="9EFF2530"/>
    <w:rsid w:val="9F2FA450"/>
    <w:rsid w:val="A1FF5D3E"/>
    <w:rsid w:val="A76D5D65"/>
    <w:rsid w:val="AE75AFB9"/>
    <w:rsid w:val="AF6B22FB"/>
    <w:rsid w:val="AFEF031A"/>
    <w:rsid w:val="AFFA8B03"/>
    <w:rsid w:val="B1DF3BB0"/>
    <w:rsid w:val="B677E63D"/>
    <w:rsid w:val="B7F3CADA"/>
    <w:rsid w:val="BCBF6782"/>
    <w:rsid w:val="BEE8556A"/>
    <w:rsid w:val="BEFF4A15"/>
    <w:rsid w:val="BFAF83CF"/>
    <w:rsid w:val="D3D95805"/>
    <w:rsid w:val="D97F19FA"/>
    <w:rsid w:val="DAC14DDB"/>
    <w:rsid w:val="DB9E3021"/>
    <w:rsid w:val="DBAF6C5B"/>
    <w:rsid w:val="DBEF752F"/>
    <w:rsid w:val="DCFFAED6"/>
    <w:rsid w:val="DD6EEC19"/>
    <w:rsid w:val="DEFB4E55"/>
    <w:rsid w:val="DF3CEF07"/>
    <w:rsid w:val="DFCFF705"/>
    <w:rsid w:val="EB2E9E87"/>
    <w:rsid w:val="EE7E091A"/>
    <w:rsid w:val="EF5E2CCE"/>
    <w:rsid w:val="F5D9581B"/>
    <w:rsid w:val="F5EFB132"/>
    <w:rsid w:val="F7F200A7"/>
    <w:rsid w:val="FADF5A8B"/>
    <w:rsid w:val="FBA9339D"/>
    <w:rsid w:val="FBEC8A22"/>
    <w:rsid w:val="FBFF69E3"/>
    <w:rsid w:val="FBFFC88E"/>
    <w:rsid w:val="FD467A84"/>
    <w:rsid w:val="FDFD5072"/>
    <w:rsid w:val="FE27949D"/>
    <w:rsid w:val="FEFD327A"/>
    <w:rsid w:val="FF37CA07"/>
    <w:rsid w:val="FF54A70F"/>
    <w:rsid w:val="FF7619B8"/>
    <w:rsid w:val="FF7BD70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uiPriority w:val="0"/>
  </w:style>
  <w:style w:type="table" w:default="1" w:styleId="5">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4">
    <w:name w:val="Normal (Web)"/>
    <w:basedOn w:val="1"/>
    <w:uiPriority w:val="0"/>
    <w:pPr>
      <w:spacing w:before="0" w:beforeAutospacing="1" w:after="0" w:afterAutospacing="1"/>
      <w:ind w:left="0" w:right="0"/>
      <w:jc w:val="left"/>
    </w:pPr>
    <w:rPr>
      <w:kern w:val="0"/>
      <w:sz w:val="24"/>
      <w:lang w:val="en-US" w:eastAsia="zh-CN" w:bidi="ar"/>
    </w:rPr>
  </w:style>
  <w:style w:type="character" w:styleId="7">
    <w:name w:val="Strong"/>
    <w:basedOn w:val="6"/>
    <w:qFormat/>
    <w:uiPriority w:val="0"/>
    <w:rPr>
      <w:b/>
    </w:rPr>
  </w:style>
  <w:style w:type="character" w:styleId="8">
    <w:name w:val="Emphasis"/>
    <w:basedOn w:val="6"/>
    <w:qFormat/>
    <w:uiPriority w:val="0"/>
    <w:rPr>
      <w:i/>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40</Pages>
  <Words>0</Words>
  <Characters>0</Characters>
  <Lines>0</Lines>
  <Paragraphs>0</Paragraphs>
  <TotalTime>0</TotalTime>
  <ScaleCrop>false</ScaleCrop>
  <LinksUpToDate>false</LinksUpToDate>
  <CharactersWithSpaces>0</CharactersWithSpaces>
  <Application>WPS Office_12.1.22553.22553_F1E327BC-269C-435d-A152-05C5408002CA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2026-03-26T03:18:00Z</dcterms:created>
  <dc:creator>sherlock holmes</dc:creator>
  <cp:lastModifiedBy>sherlock holmes</cp:lastModifiedBy>
  <dcterms:modified xsi:type="dcterms:W3CDTF">2026-03-31T16:53:47Z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2052-12.1.22553.22553</vt:lpwstr>
  </property>
  <property fmtid="{D5CDD505-2E9C-101B-9397-08002B2CF9AE}" pid="3" name="ICV">
    <vt:lpwstr>F646B69DA7630B4A0454C3698AD52716_41</vt:lpwstr>
  </property>
</Properties>
</file>